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68" w:rsidRPr="001F2AEE" w:rsidRDefault="00B01D68" w:rsidP="00B01D68">
      <w:pPr>
        <w:pStyle w:val="1"/>
        <w:numPr>
          <w:ilvl w:val="0"/>
          <w:numId w:val="0"/>
        </w:numPr>
        <w:ind w:firstLine="708"/>
        <w:jc w:val="center"/>
      </w:pPr>
      <w:r w:rsidRPr="001F2AEE">
        <w:t>технически спецификации</w:t>
      </w:r>
    </w:p>
    <w:p w:rsidR="00B01D68" w:rsidRPr="001F2AEE" w:rsidRDefault="00B01D68" w:rsidP="00B01D68"/>
    <w:p w:rsidR="00B01D68" w:rsidRPr="00EE785E" w:rsidRDefault="005E672D" w:rsidP="005E672D">
      <w:pPr>
        <w:jc w:val="both"/>
        <w:rPr>
          <w:b/>
        </w:rPr>
      </w:pPr>
      <w:r>
        <w:rPr>
          <w:rFonts w:eastAsia="Calibri"/>
          <w:lang w:val="bg-BG"/>
        </w:rPr>
        <w:t xml:space="preserve">За обществена поръчка, възлагана по реда на Глава осем „А“ от ЗОП с предмет: </w:t>
      </w:r>
      <w:r w:rsidR="00B01D68" w:rsidRPr="00AC62DD">
        <w:rPr>
          <w:rFonts w:eastAsia="Calibri"/>
          <w:b/>
        </w:rPr>
        <w:t>„</w:t>
      </w:r>
      <w:proofErr w:type="spellStart"/>
      <w:r w:rsidR="00B01D68" w:rsidRPr="00AC62DD">
        <w:rPr>
          <w:rFonts w:eastAsia="Calibri"/>
          <w:b/>
        </w:rPr>
        <w:t>Избор</w:t>
      </w:r>
      <w:proofErr w:type="spellEnd"/>
      <w:r w:rsidR="00B01D68" w:rsidRPr="00AC62DD">
        <w:rPr>
          <w:rFonts w:eastAsia="Calibri"/>
          <w:b/>
        </w:rPr>
        <w:t xml:space="preserve"> </w:t>
      </w:r>
      <w:proofErr w:type="spellStart"/>
      <w:r w:rsidR="00B01D68" w:rsidRPr="00AC62DD">
        <w:rPr>
          <w:rFonts w:eastAsia="Calibri"/>
          <w:b/>
        </w:rPr>
        <w:t>на</w:t>
      </w:r>
      <w:proofErr w:type="spellEnd"/>
      <w:r w:rsidR="00B01D68" w:rsidRPr="00AC62DD">
        <w:rPr>
          <w:rFonts w:eastAsia="Calibri"/>
          <w:b/>
        </w:rPr>
        <w:t xml:space="preserve"> </w:t>
      </w:r>
      <w:proofErr w:type="spellStart"/>
      <w:r w:rsidR="00B01D68" w:rsidRPr="00AC62DD">
        <w:rPr>
          <w:b/>
        </w:rPr>
        <w:t>предприятие</w:t>
      </w:r>
      <w:proofErr w:type="spellEnd"/>
      <w:r w:rsidR="00B01D68" w:rsidRPr="00AC62DD">
        <w:rPr>
          <w:b/>
        </w:rPr>
        <w:t xml:space="preserve"> </w:t>
      </w:r>
      <w:proofErr w:type="spellStart"/>
      <w:r w:rsidR="00B01D68" w:rsidRPr="00AC62DD">
        <w:rPr>
          <w:b/>
        </w:rPr>
        <w:t>за</w:t>
      </w:r>
      <w:proofErr w:type="spellEnd"/>
      <w:r w:rsidR="00B01D68" w:rsidRPr="00AC62DD">
        <w:rPr>
          <w:b/>
        </w:rPr>
        <w:t xml:space="preserve"> </w:t>
      </w:r>
      <w:proofErr w:type="spellStart"/>
      <w:r w:rsidR="00B01D68" w:rsidRPr="00AC62DD">
        <w:rPr>
          <w:b/>
        </w:rPr>
        <w:t>предоставяне</w:t>
      </w:r>
      <w:proofErr w:type="spellEnd"/>
      <w:r w:rsidR="00B01D68" w:rsidRPr="00AC62DD">
        <w:rPr>
          <w:b/>
        </w:rPr>
        <w:t xml:space="preserve"> </w:t>
      </w:r>
      <w:proofErr w:type="spellStart"/>
      <w:r w:rsidR="00B01D68" w:rsidRPr="00AC62DD">
        <w:rPr>
          <w:b/>
        </w:rPr>
        <w:t>на</w:t>
      </w:r>
      <w:proofErr w:type="spellEnd"/>
      <w:r w:rsidR="00B01D68" w:rsidRPr="00AC62DD">
        <w:rPr>
          <w:b/>
        </w:rPr>
        <w:t xml:space="preserve"> </w:t>
      </w:r>
      <w:r w:rsidR="00B01D68" w:rsidRPr="00AC62DD">
        <w:rPr>
          <w:rFonts w:eastAsia="Calibri"/>
          <w:b/>
        </w:rPr>
        <w:t xml:space="preserve"> </w:t>
      </w:r>
      <w:proofErr w:type="spellStart"/>
      <w:r w:rsidR="00B01D68" w:rsidRPr="00AC62DD">
        <w:rPr>
          <w:rFonts w:eastAsia="Calibri"/>
          <w:b/>
        </w:rPr>
        <w:t>фиксирана</w:t>
      </w:r>
      <w:proofErr w:type="spellEnd"/>
      <w:r w:rsidR="00B01D68" w:rsidRPr="00AC62DD">
        <w:rPr>
          <w:rFonts w:eastAsia="Calibri"/>
          <w:b/>
        </w:rPr>
        <w:t xml:space="preserve"> </w:t>
      </w:r>
      <w:proofErr w:type="spellStart"/>
      <w:r w:rsidR="00B01D68" w:rsidRPr="00AC62DD">
        <w:rPr>
          <w:b/>
        </w:rPr>
        <w:t>гласова</w:t>
      </w:r>
      <w:proofErr w:type="spellEnd"/>
      <w:r w:rsidR="00B01D68" w:rsidRPr="00AC62DD">
        <w:rPr>
          <w:b/>
        </w:rPr>
        <w:t xml:space="preserve"> </w:t>
      </w:r>
      <w:proofErr w:type="spellStart"/>
      <w:r w:rsidR="00B01D68" w:rsidRPr="00AC62DD">
        <w:rPr>
          <w:b/>
        </w:rPr>
        <w:t>телефонна</w:t>
      </w:r>
      <w:proofErr w:type="spellEnd"/>
      <w:r w:rsidR="00B01D68" w:rsidRPr="00AC62DD">
        <w:rPr>
          <w:b/>
        </w:rPr>
        <w:t xml:space="preserve"> </w:t>
      </w:r>
      <w:proofErr w:type="spellStart"/>
      <w:r w:rsidR="00B01D68" w:rsidRPr="00AC62DD">
        <w:rPr>
          <w:b/>
        </w:rPr>
        <w:t>услуга</w:t>
      </w:r>
      <w:proofErr w:type="spellEnd"/>
      <w:r w:rsidR="00B01D68">
        <w:rPr>
          <w:b/>
        </w:rPr>
        <w:t xml:space="preserve"> </w:t>
      </w:r>
      <w:proofErr w:type="spellStart"/>
      <w:r w:rsidR="00B01D68">
        <w:rPr>
          <w:b/>
        </w:rPr>
        <w:t>за</w:t>
      </w:r>
      <w:proofErr w:type="spellEnd"/>
      <w:r w:rsidR="00B01D68">
        <w:rPr>
          <w:b/>
        </w:rPr>
        <w:t xml:space="preserve"> </w:t>
      </w:r>
      <w:proofErr w:type="spellStart"/>
      <w:r w:rsidR="00B01D68">
        <w:rPr>
          <w:b/>
        </w:rPr>
        <w:t>нуждите</w:t>
      </w:r>
      <w:proofErr w:type="spellEnd"/>
      <w:r w:rsidR="00B01D68">
        <w:rPr>
          <w:b/>
        </w:rPr>
        <w:t xml:space="preserve"> </w:t>
      </w:r>
      <w:proofErr w:type="spellStart"/>
      <w:r w:rsidR="00B01D68">
        <w:rPr>
          <w:b/>
        </w:rPr>
        <w:t>на</w:t>
      </w:r>
      <w:proofErr w:type="spellEnd"/>
      <w:r w:rsidR="00B01D68">
        <w:rPr>
          <w:b/>
        </w:rPr>
        <w:t xml:space="preserve"> </w:t>
      </w:r>
      <w:proofErr w:type="spellStart"/>
      <w:r w:rsidR="00B01D68">
        <w:rPr>
          <w:b/>
        </w:rPr>
        <w:t>Община</w:t>
      </w:r>
      <w:proofErr w:type="spellEnd"/>
      <w:r w:rsidR="00B01D68">
        <w:rPr>
          <w:b/>
        </w:rPr>
        <w:t xml:space="preserve"> </w:t>
      </w:r>
      <w:proofErr w:type="spellStart"/>
      <w:r w:rsidR="00B01D68">
        <w:rPr>
          <w:b/>
        </w:rPr>
        <w:t>Русе</w:t>
      </w:r>
      <w:proofErr w:type="spellEnd"/>
      <w:r w:rsidR="00681789">
        <w:rPr>
          <w:b/>
          <w:lang w:val="bg-BG"/>
        </w:rPr>
        <w:t xml:space="preserve"> и на всички второстепенни разпоредители на бюджетна издръжка, които не са самостоятелни юридически лица</w:t>
      </w:r>
      <w:r w:rsidR="00EE785E">
        <w:rPr>
          <w:b/>
        </w:rPr>
        <w:t xml:space="preserve"> </w:t>
      </w:r>
      <w:bookmarkStart w:id="0" w:name="_GoBack"/>
      <w:r w:rsidR="00EE785E" w:rsidRPr="00EE785E">
        <w:rPr>
          <w:b/>
        </w:rPr>
        <w:t xml:space="preserve">и </w:t>
      </w:r>
      <w:proofErr w:type="spellStart"/>
      <w:r w:rsidR="00EE785E" w:rsidRPr="00EE785E">
        <w:rPr>
          <w:b/>
        </w:rPr>
        <w:t>възложители</w:t>
      </w:r>
      <w:proofErr w:type="spellEnd"/>
      <w:r w:rsidR="00EE785E" w:rsidRPr="00EE785E">
        <w:rPr>
          <w:b/>
        </w:rPr>
        <w:t xml:space="preserve"> </w:t>
      </w:r>
      <w:proofErr w:type="spellStart"/>
      <w:r w:rsidR="00EE785E" w:rsidRPr="00EE785E">
        <w:rPr>
          <w:b/>
        </w:rPr>
        <w:t>по</w:t>
      </w:r>
      <w:proofErr w:type="spellEnd"/>
      <w:r w:rsidR="00EE785E" w:rsidRPr="00EE785E">
        <w:rPr>
          <w:b/>
        </w:rPr>
        <w:t xml:space="preserve"> ЗОП".</w:t>
      </w:r>
    </w:p>
    <w:bookmarkEnd w:id="0"/>
    <w:p w:rsidR="00B01D68" w:rsidRPr="00AC62DD" w:rsidRDefault="00B01D68" w:rsidP="00B01D68">
      <w:pPr>
        <w:shd w:val="clear" w:color="auto" w:fill="FFFFFF"/>
        <w:jc w:val="both"/>
        <w:rPr>
          <w:b/>
          <w:bCs/>
          <w:caps/>
          <w:spacing w:val="3"/>
        </w:rPr>
      </w:pPr>
    </w:p>
    <w:p w:rsidR="00B01D68" w:rsidRDefault="00B01D68" w:rsidP="00B01D68">
      <w:pPr>
        <w:jc w:val="both"/>
        <w:rPr>
          <w:b/>
          <w:u w:val="single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13"/>
      </w:tblGrid>
      <w:tr w:rsidR="00B01D68" w:rsidRPr="005C097A" w:rsidTr="00597722">
        <w:tc>
          <w:tcPr>
            <w:tcW w:w="675" w:type="dxa"/>
          </w:tcPr>
          <w:p w:rsidR="00B01D68" w:rsidRPr="005C097A" w:rsidRDefault="00B01D68" w:rsidP="00597722">
            <w:pPr>
              <w:widowControl w:val="0"/>
              <w:shd w:val="clear" w:color="auto" w:fill="FFFFFF"/>
              <w:tabs>
                <w:tab w:val="left" w:pos="-3261"/>
                <w:tab w:val="left" w:pos="-311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Pr="005C097A" w:rsidRDefault="00B01D68" w:rsidP="00597722">
            <w:pPr>
              <w:widowControl w:val="0"/>
              <w:shd w:val="clear" w:color="auto" w:fill="FFFFFF"/>
              <w:tabs>
                <w:tab w:val="left" w:pos="-3261"/>
                <w:tab w:val="left" w:pos="-3119"/>
              </w:tabs>
              <w:autoSpaceDE w:val="0"/>
              <w:autoSpaceDN w:val="0"/>
              <w:adjustRightInd w:val="0"/>
              <w:jc w:val="both"/>
              <w:rPr>
                <w:spacing w:val="4"/>
                <w:sz w:val="22"/>
                <w:szCs w:val="22"/>
                <w:lang w:val="ru-RU"/>
              </w:rPr>
            </w:pPr>
            <w:r w:rsidRPr="005C097A">
              <w:rPr>
                <w:b/>
                <w:bCs/>
                <w:spacing w:val="-1"/>
                <w:sz w:val="22"/>
                <w:szCs w:val="22"/>
                <w:lang w:val="ru-RU"/>
              </w:rPr>
              <w:t xml:space="preserve">Технически </w:t>
            </w:r>
            <w:proofErr w:type="spellStart"/>
            <w:r w:rsidRPr="005C097A">
              <w:rPr>
                <w:b/>
                <w:bCs/>
                <w:spacing w:val="-1"/>
                <w:sz w:val="22"/>
                <w:szCs w:val="22"/>
                <w:lang w:val="ru-RU"/>
              </w:rPr>
              <w:t>изисквания</w:t>
            </w:r>
            <w:proofErr w:type="spellEnd"/>
            <w:r w:rsidRPr="005C097A">
              <w:rPr>
                <w:b/>
                <w:bCs/>
                <w:spacing w:val="-1"/>
                <w:sz w:val="22"/>
                <w:szCs w:val="22"/>
                <w:lang w:val="ru-RU"/>
              </w:rPr>
              <w:t>:</w:t>
            </w:r>
            <w:r w:rsidRPr="005C097A">
              <w:rPr>
                <w:spacing w:val="4"/>
                <w:sz w:val="22"/>
                <w:szCs w:val="22"/>
                <w:lang w:val="ru-RU"/>
              </w:rPr>
              <w:t xml:space="preserve"> </w:t>
            </w:r>
          </w:p>
        </w:tc>
      </w:tr>
      <w:tr w:rsidR="00B01D68" w:rsidRPr="005C097A" w:rsidTr="00597722">
        <w:tc>
          <w:tcPr>
            <w:tcW w:w="675" w:type="dxa"/>
          </w:tcPr>
          <w:p w:rsidR="00B01D68" w:rsidRPr="00556670" w:rsidRDefault="00B01D68" w:rsidP="00B01D68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613" w:type="dxa"/>
          </w:tcPr>
          <w:p w:rsidR="00B01D68" w:rsidRPr="007E636A" w:rsidRDefault="00B01D68" w:rsidP="00597722">
            <w:pPr>
              <w:jc w:val="both"/>
              <w:rPr>
                <w:spacing w:val="-1"/>
                <w:sz w:val="22"/>
                <w:szCs w:val="22"/>
                <w:lang w:val="ru-RU"/>
              </w:rPr>
            </w:pPr>
            <w:proofErr w:type="spellStart"/>
            <w:r w:rsidRPr="007E636A">
              <w:rPr>
                <w:sz w:val="22"/>
                <w:szCs w:val="22"/>
                <w:lang w:val="ru-RU"/>
              </w:rPr>
              <w:t>Участникът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да предложи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пренос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на глас и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факсимилни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съобщения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 xml:space="preserve">независимо от </w:t>
            </w:r>
            <w:proofErr w:type="spellStart"/>
            <w:r>
              <w:rPr>
                <w:sz w:val="22"/>
                <w:szCs w:val="22"/>
                <w:lang w:val="ru-RU"/>
              </w:rPr>
              <w:t>технологията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  <w:r w:rsidRPr="007E63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съгласно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Закона за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електронните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съобщения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територията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страната</w:t>
            </w:r>
            <w:proofErr w:type="spellEnd"/>
            <w:r w:rsidRPr="007E636A">
              <w:rPr>
                <w:sz w:val="22"/>
                <w:szCs w:val="22"/>
                <w:lang w:val="bg-BG"/>
              </w:rPr>
              <w:t xml:space="preserve"> </w:t>
            </w:r>
            <w:r w:rsidRPr="007E636A">
              <w:rPr>
                <w:spacing w:val="-1"/>
                <w:sz w:val="22"/>
                <w:szCs w:val="22"/>
                <w:lang w:val="ru-RU"/>
              </w:rPr>
              <w:t xml:space="preserve">и чужбина, за </w:t>
            </w:r>
            <w:proofErr w:type="spellStart"/>
            <w:r w:rsidRPr="007E636A">
              <w:rPr>
                <w:spacing w:val="-1"/>
                <w:sz w:val="22"/>
                <w:szCs w:val="22"/>
                <w:lang w:val="ru-RU"/>
              </w:rPr>
              <w:t>стационарните</w:t>
            </w:r>
            <w:proofErr w:type="spellEnd"/>
            <w:r w:rsidRPr="007E636A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636A">
              <w:rPr>
                <w:spacing w:val="-1"/>
                <w:sz w:val="22"/>
                <w:szCs w:val="22"/>
                <w:lang w:val="ru-RU"/>
              </w:rPr>
              <w:t>телефонни</w:t>
            </w:r>
            <w:proofErr w:type="spellEnd"/>
            <w:r w:rsidRPr="007E636A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636A">
              <w:rPr>
                <w:spacing w:val="-1"/>
                <w:sz w:val="22"/>
                <w:szCs w:val="22"/>
                <w:lang w:val="ru-RU"/>
              </w:rPr>
              <w:t>постове</w:t>
            </w:r>
            <w:proofErr w:type="spellEnd"/>
            <w:r w:rsidRPr="007E636A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7E636A">
              <w:rPr>
                <w:spacing w:val="-1"/>
                <w:sz w:val="22"/>
                <w:szCs w:val="22"/>
              </w:rPr>
              <w:t>POTS</w:t>
            </w:r>
            <w:r w:rsidRPr="007E636A">
              <w:rPr>
                <w:spacing w:val="-1"/>
                <w:sz w:val="22"/>
                <w:szCs w:val="22"/>
                <w:lang w:val="ru-RU"/>
              </w:rPr>
              <w:t xml:space="preserve"> –</w:t>
            </w:r>
            <w:r>
              <w:rPr>
                <w:spacing w:val="-1"/>
                <w:sz w:val="22"/>
                <w:szCs w:val="22"/>
              </w:rPr>
              <w:t>223</w:t>
            </w:r>
            <w:r w:rsidRPr="007E636A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636A">
              <w:rPr>
                <w:spacing w:val="-1"/>
                <w:sz w:val="22"/>
                <w:szCs w:val="22"/>
                <w:lang w:val="ru-RU"/>
              </w:rPr>
              <w:t>бр</w:t>
            </w:r>
            <w:proofErr w:type="spellEnd"/>
            <w:r w:rsidRPr="007E636A">
              <w:rPr>
                <w:spacing w:val="-1"/>
                <w:sz w:val="22"/>
                <w:szCs w:val="22"/>
                <w:lang w:val="ru-RU"/>
              </w:rPr>
              <w:t xml:space="preserve">., </w:t>
            </w:r>
            <w:r>
              <w:rPr>
                <w:spacing w:val="-1"/>
                <w:sz w:val="22"/>
                <w:szCs w:val="22"/>
                <w:lang w:val="bg-BG"/>
              </w:rPr>
              <w:t xml:space="preserve">ISDN </w:t>
            </w:r>
            <w:r>
              <w:rPr>
                <w:spacing w:val="-1"/>
                <w:sz w:val="22"/>
                <w:szCs w:val="22"/>
              </w:rPr>
              <w:t xml:space="preserve">BRA – </w:t>
            </w:r>
            <w:r>
              <w:rPr>
                <w:spacing w:val="-1"/>
                <w:sz w:val="22"/>
                <w:szCs w:val="22"/>
                <w:lang w:val="bg-BG"/>
              </w:rPr>
              <w:t xml:space="preserve">7 </w:t>
            </w:r>
            <w:proofErr w:type="spellStart"/>
            <w:r>
              <w:rPr>
                <w:spacing w:val="-1"/>
                <w:sz w:val="22"/>
                <w:szCs w:val="22"/>
              </w:rPr>
              <w:t>бр</w:t>
            </w:r>
            <w:proofErr w:type="spellEnd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  <w:lang w:val="bg-BG"/>
              </w:rPr>
              <w:t xml:space="preserve">, DDI – </w:t>
            </w:r>
            <w:r w:rsidRPr="00D10090">
              <w:rPr>
                <w:spacing w:val="-1"/>
                <w:sz w:val="22"/>
                <w:szCs w:val="22"/>
                <w:lang w:val="bg-BG"/>
              </w:rPr>
              <w:t>1</w:t>
            </w:r>
            <w:r>
              <w:rPr>
                <w:spacing w:val="-1"/>
                <w:sz w:val="22"/>
                <w:szCs w:val="22"/>
                <w:lang w:val="bg-BG"/>
              </w:rPr>
              <w:t>бр. с 300 номера</w:t>
            </w:r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  <w:lang w:val="bg-BG"/>
              </w:rPr>
              <w:t xml:space="preserve"> з</w:t>
            </w:r>
            <w:r>
              <w:rPr>
                <w:spacing w:val="-1"/>
                <w:sz w:val="22"/>
                <w:szCs w:val="22"/>
              </w:rPr>
              <w:t xml:space="preserve">а </w:t>
            </w:r>
            <w:proofErr w:type="spellStart"/>
            <w:r w:rsidRPr="007E636A">
              <w:rPr>
                <w:spacing w:val="-1"/>
                <w:sz w:val="22"/>
                <w:szCs w:val="22"/>
                <w:lang w:val="ru-RU"/>
              </w:rPr>
              <w:t>телефонн</w:t>
            </w:r>
            <w:r>
              <w:rPr>
                <w:spacing w:val="-1"/>
                <w:sz w:val="22"/>
                <w:szCs w:val="22"/>
                <w:lang w:val="ru-RU"/>
              </w:rPr>
              <w:t>и</w:t>
            </w:r>
            <w:proofErr w:type="spellEnd"/>
            <w:r w:rsidRPr="007E636A">
              <w:rPr>
                <w:spacing w:val="-1"/>
                <w:sz w:val="22"/>
                <w:szCs w:val="22"/>
                <w:lang w:val="ru-RU"/>
              </w:rPr>
              <w:t xml:space="preserve">  централ</w:t>
            </w:r>
            <w:r>
              <w:rPr>
                <w:spacing w:val="-1"/>
                <w:sz w:val="22"/>
                <w:szCs w:val="22"/>
                <w:lang w:val="ru-RU"/>
              </w:rPr>
              <w:t>и</w:t>
            </w:r>
            <w:r w:rsidRPr="007E636A">
              <w:rPr>
                <w:spacing w:val="-1"/>
                <w:sz w:val="22"/>
                <w:szCs w:val="22"/>
                <w:lang w:val="ru-RU"/>
              </w:rPr>
              <w:t xml:space="preserve"> – </w:t>
            </w:r>
            <w:r w:rsidRPr="00D10090">
              <w:rPr>
                <w:spacing w:val="-1"/>
                <w:sz w:val="22"/>
                <w:szCs w:val="22"/>
                <w:lang w:val="ru-RU"/>
              </w:rPr>
              <w:t>2</w:t>
            </w:r>
            <w:r w:rsidRPr="007E636A">
              <w:rPr>
                <w:spacing w:val="-1"/>
                <w:sz w:val="22"/>
                <w:szCs w:val="22"/>
                <w:lang w:val="ru-RU"/>
              </w:rPr>
              <w:t xml:space="preserve">бр., </w:t>
            </w:r>
            <w:r>
              <w:rPr>
                <w:spacing w:val="-1"/>
                <w:sz w:val="22"/>
                <w:szCs w:val="22"/>
                <w:lang w:val="bg-BG"/>
              </w:rPr>
              <w:t xml:space="preserve"> с адреси </w:t>
            </w:r>
            <w:proofErr w:type="spellStart"/>
            <w:r w:rsidRPr="007E636A">
              <w:rPr>
                <w:spacing w:val="-1"/>
                <w:sz w:val="22"/>
                <w:szCs w:val="22"/>
                <w:lang w:val="ru-RU"/>
              </w:rPr>
              <w:t>посочени</w:t>
            </w:r>
            <w:proofErr w:type="spellEnd"/>
            <w:r w:rsidRPr="007E636A">
              <w:rPr>
                <w:spacing w:val="-1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7E636A">
              <w:rPr>
                <w:spacing w:val="-1"/>
                <w:sz w:val="22"/>
                <w:szCs w:val="22"/>
                <w:lang w:val="ru-RU"/>
              </w:rPr>
              <w:t>Списък</w:t>
            </w:r>
            <w:proofErr w:type="spellEnd"/>
            <w:r w:rsidRPr="007E636A">
              <w:rPr>
                <w:spacing w:val="-1"/>
                <w:sz w:val="22"/>
                <w:szCs w:val="22"/>
                <w:lang w:val="ru-RU"/>
              </w:rPr>
              <w:t xml:space="preserve"> №1, </w:t>
            </w:r>
            <w:proofErr w:type="spellStart"/>
            <w:r w:rsidRPr="007E636A">
              <w:rPr>
                <w:spacing w:val="-1"/>
                <w:sz w:val="22"/>
                <w:szCs w:val="22"/>
                <w:lang w:val="ru-RU"/>
              </w:rPr>
              <w:t>представен</w:t>
            </w:r>
            <w:proofErr w:type="spellEnd"/>
            <w:r w:rsidRPr="007E636A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636A">
              <w:rPr>
                <w:spacing w:val="-1"/>
                <w:sz w:val="22"/>
                <w:szCs w:val="22"/>
                <w:lang w:val="ru-RU"/>
              </w:rPr>
              <w:t>по-долу</w:t>
            </w:r>
            <w:proofErr w:type="spellEnd"/>
            <w:r w:rsidRPr="007E636A">
              <w:rPr>
                <w:spacing w:val="-1"/>
                <w:sz w:val="22"/>
                <w:szCs w:val="22"/>
                <w:lang w:val="ru-RU"/>
              </w:rPr>
              <w:t>.</w:t>
            </w:r>
          </w:p>
        </w:tc>
      </w:tr>
      <w:tr w:rsidR="00B01D68" w:rsidRPr="005C097A" w:rsidTr="00597722">
        <w:tc>
          <w:tcPr>
            <w:tcW w:w="675" w:type="dxa"/>
          </w:tcPr>
          <w:p w:rsidR="00B01D68" w:rsidRPr="00556670" w:rsidRDefault="00B01D68" w:rsidP="00B01D68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613" w:type="dxa"/>
          </w:tcPr>
          <w:p w:rsidR="00B01D68" w:rsidRPr="007E636A" w:rsidRDefault="00B01D68" w:rsidP="00597722">
            <w:pPr>
              <w:jc w:val="both"/>
              <w:rPr>
                <w:spacing w:val="-1"/>
                <w:sz w:val="22"/>
                <w:szCs w:val="22"/>
                <w:lang w:val="ru-RU"/>
              </w:rPr>
            </w:pPr>
            <w:r w:rsidRPr="007E636A">
              <w:rPr>
                <w:sz w:val="22"/>
                <w:szCs w:val="22"/>
                <w:lang w:val="ru-RU"/>
              </w:rPr>
              <w:t xml:space="preserve">Да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бъде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осигурена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възможност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провеждане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на разговори и услуги в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рамките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корпоративна 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група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извън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нея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. Разговори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към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мобилни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оператори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други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фиксирани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мрежи, 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международни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разговори.</w:t>
            </w:r>
          </w:p>
        </w:tc>
      </w:tr>
      <w:tr w:rsidR="00B01D68" w:rsidRPr="005C097A" w:rsidTr="00597722">
        <w:tc>
          <w:tcPr>
            <w:tcW w:w="675" w:type="dxa"/>
          </w:tcPr>
          <w:p w:rsidR="00B01D68" w:rsidRDefault="00B01D68" w:rsidP="00B01D68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8613" w:type="dxa"/>
          </w:tcPr>
          <w:p w:rsidR="00B01D68" w:rsidRPr="007E636A" w:rsidRDefault="00B01D68" w:rsidP="00597722">
            <w:pPr>
              <w:jc w:val="both"/>
              <w:rPr>
                <w:sz w:val="22"/>
                <w:szCs w:val="22"/>
                <w:lang w:val="bg-BG"/>
              </w:rPr>
            </w:pPr>
            <w:r w:rsidRPr="007E636A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52D02">
              <w:rPr>
                <w:sz w:val="22"/>
                <w:szCs w:val="22"/>
                <w:lang w:val="ru-RU"/>
              </w:rPr>
              <w:t>Корпоративната</w:t>
            </w:r>
            <w:proofErr w:type="spellEnd"/>
            <w:r w:rsidRPr="00F52D0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2D02">
              <w:rPr>
                <w:sz w:val="22"/>
                <w:szCs w:val="22"/>
                <w:lang w:val="ru-RU"/>
              </w:rPr>
              <w:t>група</w:t>
            </w:r>
            <w:proofErr w:type="spellEnd"/>
            <w:r w:rsidRPr="00F52D02">
              <w:rPr>
                <w:sz w:val="22"/>
                <w:szCs w:val="22"/>
                <w:lang w:val="ru-RU"/>
              </w:rPr>
              <w:t xml:space="preserve"> да </w:t>
            </w:r>
            <w:proofErr w:type="spellStart"/>
            <w:r w:rsidRPr="00F52D02">
              <w:rPr>
                <w:sz w:val="22"/>
                <w:szCs w:val="22"/>
                <w:lang w:val="ru-RU"/>
              </w:rPr>
              <w:t>включва</w:t>
            </w:r>
            <w:proofErr w:type="spellEnd"/>
            <w:r w:rsidRPr="00F52D0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2D02">
              <w:rPr>
                <w:sz w:val="22"/>
                <w:szCs w:val="22"/>
                <w:lang w:val="ru-RU"/>
              </w:rPr>
              <w:t>всички</w:t>
            </w:r>
            <w:proofErr w:type="spellEnd"/>
            <w:r w:rsidRPr="00F52D02">
              <w:rPr>
                <w:sz w:val="22"/>
                <w:szCs w:val="22"/>
                <w:lang w:val="ru-RU"/>
              </w:rPr>
              <w:t xml:space="preserve"> номера на </w:t>
            </w:r>
            <w:proofErr w:type="spellStart"/>
            <w:r w:rsidRPr="00F52D02">
              <w:rPr>
                <w:sz w:val="22"/>
                <w:szCs w:val="22"/>
                <w:lang w:val="ru-RU"/>
              </w:rPr>
              <w:t>телефонн</w:t>
            </w:r>
            <w:proofErr w:type="spellEnd"/>
            <w:r w:rsidRPr="00F52D02">
              <w:rPr>
                <w:sz w:val="22"/>
                <w:szCs w:val="22"/>
                <w:lang w:val="bg-BG"/>
              </w:rPr>
              <w:t>ата</w:t>
            </w:r>
            <w:r w:rsidRPr="00F52D02">
              <w:rPr>
                <w:sz w:val="22"/>
                <w:szCs w:val="22"/>
                <w:lang w:val="ru-RU"/>
              </w:rPr>
              <w:t xml:space="preserve">  централ</w:t>
            </w:r>
            <w:r w:rsidRPr="00F52D02">
              <w:rPr>
                <w:sz w:val="22"/>
                <w:szCs w:val="22"/>
                <w:lang w:val="bg-BG"/>
              </w:rPr>
              <w:t xml:space="preserve">а, </w:t>
            </w:r>
            <w:proofErr w:type="spellStart"/>
            <w:r w:rsidRPr="00F52D02">
              <w:rPr>
                <w:sz w:val="22"/>
                <w:szCs w:val="22"/>
                <w:lang w:val="ru-RU"/>
              </w:rPr>
              <w:t>номерата</w:t>
            </w:r>
            <w:proofErr w:type="spellEnd"/>
            <w:r w:rsidRPr="00F52D02">
              <w:rPr>
                <w:sz w:val="22"/>
                <w:szCs w:val="22"/>
                <w:lang w:val="ru-RU"/>
              </w:rPr>
              <w:t xml:space="preserve"> на </w:t>
            </w:r>
            <w:r w:rsidRPr="00F52D02">
              <w:rPr>
                <w:sz w:val="22"/>
                <w:szCs w:val="22"/>
                <w:lang w:val="bg-BG"/>
              </w:rPr>
              <w:t xml:space="preserve">стационарните </w:t>
            </w:r>
            <w:r w:rsidRPr="00F52D0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2D02">
              <w:rPr>
                <w:sz w:val="22"/>
                <w:szCs w:val="22"/>
                <w:lang w:val="ru-RU"/>
              </w:rPr>
              <w:t>телефони</w:t>
            </w:r>
            <w:proofErr w:type="spellEnd"/>
            <w:r w:rsidRPr="00F52D02">
              <w:rPr>
                <w:sz w:val="22"/>
                <w:szCs w:val="22"/>
                <w:lang w:val="ru-RU"/>
              </w:rPr>
              <w:t xml:space="preserve"> на </w:t>
            </w:r>
            <w:r w:rsidRPr="00F52D02">
              <w:rPr>
                <w:sz w:val="22"/>
                <w:szCs w:val="22"/>
              </w:rPr>
              <w:t>ОБЩИНА РУСЕ</w:t>
            </w:r>
            <w:r w:rsidRPr="00F52D02">
              <w:rPr>
                <w:sz w:val="22"/>
                <w:szCs w:val="22"/>
                <w:lang w:val="bg-BG"/>
              </w:rPr>
              <w:t>, както и мобилните номера предоставени от един оператор.</w:t>
            </w:r>
          </w:p>
        </w:tc>
      </w:tr>
      <w:tr w:rsidR="00B01D68" w:rsidRPr="005C097A" w:rsidTr="00597722">
        <w:tc>
          <w:tcPr>
            <w:tcW w:w="675" w:type="dxa"/>
          </w:tcPr>
          <w:p w:rsidR="00B01D68" w:rsidRDefault="00B01D68" w:rsidP="00B01D68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8613" w:type="dxa"/>
          </w:tcPr>
          <w:p w:rsidR="00B01D68" w:rsidRPr="007E636A" w:rsidRDefault="00B01D68" w:rsidP="00597722">
            <w:pPr>
              <w:jc w:val="both"/>
              <w:rPr>
                <w:sz w:val="22"/>
                <w:szCs w:val="22"/>
                <w:lang w:val="bg-BG"/>
              </w:rPr>
            </w:pPr>
            <w:r w:rsidRPr="00F52D02">
              <w:rPr>
                <w:sz w:val="22"/>
                <w:szCs w:val="22"/>
              </w:rPr>
              <w:t>В</w:t>
            </w:r>
            <w:proofErr w:type="spellStart"/>
            <w:r w:rsidRPr="00F52D02">
              <w:rPr>
                <w:sz w:val="22"/>
                <w:szCs w:val="22"/>
                <w:lang w:val="bg-BG"/>
              </w:rPr>
              <w:t>секи</w:t>
            </w:r>
            <w:proofErr w:type="spellEnd"/>
            <w:r w:rsidRPr="00F52D02">
              <w:rPr>
                <w:sz w:val="22"/>
                <w:szCs w:val="22"/>
                <w:lang w:val="bg-BG"/>
              </w:rPr>
              <w:t xml:space="preserve"> телефонен  пост  да има и виртуален мобилен номер с неограничени разговори в корпоративната група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</w:tr>
      <w:tr w:rsidR="00B01D68" w:rsidRPr="005C097A" w:rsidTr="00597722">
        <w:tc>
          <w:tcPr>
            <w:tcW w:w="675" w:type="dxa"/>
          </w:tcPr>
          <w:p w:rsidR="00B01D68" w:rsidRDefault="00B01D68" w:rsidP="00B01D68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8613" w:type="dxa"/>
          </w:tcPr>
          <w:p w:rsidR="00B01D68" w:rsidRPr="003124FC" w:rsidRDefault="00B01D68" w:rsidP="0059772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pacing w:val="-2"/>
                <w:lang w:val="bg-BG"/>
              </w:rPr>
              <w:t xml:space="preserve">Участникът </w:t>
            </w:r>
            <w:r w:rsidRPr="00EB6013">
              <w:rPr>
                <w:spacing w:val="-2"/>
                <w:lang w:val="bg-BG"/>
              </w:rPr>
              <w:t xml:space="preserve"> трябва да осигур</w:t>
            </w:r>
            <w:r>
              <w:rPr>
                <w:spacing w:val="-2"/>
                <w:lang w:val="bg-BG"/>
              </w:rPr>
              <w:t>и</w:t>
            </w:r>
            <w:r w:rsidRPr="00EB6013">
              <w:rPr>
                <w:spacing w:val="-2"/>
                <w:lang w:val="bg-BG"/>
              </w:rPr>
              <w:t xml:space="preserve"> преференциални цени за разговори в корпоративна</w:t>
            </w:r>
            <w:r>
              <w:rPr>
                <w:spacing w:val="-2"/>
                <w:lang w:val="bg-BG"/>
              </w:rPr>
              <w:t>та</w:t>
            </w:r>
            <w:r w:rsidRPr="00EB6013">
              <w:rPr>
                <w:spacing w:val="-2"/>
                <w:lang w:val="bg-BG"/>
              </w:rPr>
              <w:t xml:space="preserve"> група</w:t>
            </w:r>
            <w:r>
              <w:rPr>
                <w:spacing w:val="-2"/>
                <w:lang w:val="bg-BG"/>
              </w:rPr>
              <w:t>.</w:t>
            </w:r>
            <w:r w:rsidRPr="00EB6013">
              <w:rPr>
                <w:spacing w:val="-2"/>
                <w:lang w:val="bg-BG"/>
              </w:rPr>
              <w:t xml:space="preserve"> </w:t>
            </w:r>
          </w:p>
        </w:tc>
      </w:tr>
      <w:tr w:rsidR="00B01D68" w:rsidRPr="005C097A" w:rsidTr="00597722">
        <w:tc>
          <w:tcPr>
            <w:tcW w:w="675" w:type="dxa"/>
          </w:tcPr>
          <w:p w:rsidR="00B01D68" w:rsidRPr="005C097A" w:rsidRDefault="00B01D68" w:rsidP="00B01D6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Default="00B01D68" w:rsidP="00597722">
            <w:pPr>
              <w:jc w:val="both"/>
              <w:rPr>
                <w:sz w:val="22"/>
                <w:szCs w:val="22"/>
                <w:lang w:val="ru-RU"/>
              </w:rPr>
            </w:pPr>
            <w:r w:rsidRPr="007E636A">
              <w:rPr>
                <w:sz w:val="22"/>
                <w:szCs w:val="22"/>
                <w:lang w:val="ru-RU"/>
              </w:rPr>
              <w:t xml:space="preserve">Да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бъде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осигурена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съвместимост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услугите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оборудването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на ВЪЗЛОЖИТЕЛЯ –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телефонни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терминали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факсове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телефонн</w:t>
            </w:r>
            <w:r>
              <w:rPr>
                <w:sz w:val="22"/>
                <w:szCs w:val="22"/>
                <w:lang w:val="ru-RU"/>
              </w:rPr>
              <w:t>и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централ</w:t>
            </w:r>
            <w:r>
              <w:rPr>
                <w:sz w:val="22"/>
                <w:szCs w:val="22"/>
                <w:lang w:val="ru-RU"/>
              </w:rPr>
              <w:t>и</w:t>
            </w:r>
            <w:r w:rsidRPr="007E636A">
              <w:rPr>
                <w:sz w:val="22"/>
                <w:szCs w:val="22"/>
                <w:lang w:val="ru-RU"/>
              </w:rPr>
              <w:t xml:space="preserve"> и др., с цел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свързване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към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обществената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мрежа:</w:t>
            </w:r>
          </w:p>
          <w:p w:rsidR="00B01D68" w:rsidRDefault="00B01D68" w:rsidP="00B01D6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5C097A">
              <w:rPr>
                <w:sz w:val="22"/>
                <w:szCs w:val="22"/>
                <w:lang w:val="ru-RU"/>
              </w:rPr>
              <w:t>Предоставяните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телефонни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услуги (РОТ</w:t>
            </w:r>
            <w:r w:rsidRPr="005C097A">
              <w:rPr>
                <w:sz w:val="22"/>
                <w:szCs w:val="22"/>
              </w:rPr>
              <w:t>S</w:t>
            </w:r>
            <w:r w:rsidRPr="005C097A">
              <w:rPr>
                <w:sz w:val="22"/>
                <w:szCs w:val="22"/>
                <w:lang w:val="ru-RU"/>
              </w:rPr>
              <w:t xml:space="preserve">)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следва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да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са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съвместими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клиентското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оборудване</w:t>
            </w:r>
            <w:proofErr w:type="spellEnd"/>
            <w:r>
              <w:rPr>
                <w:sz w:val="22"/>
                <w:szCs w:val="22"/>
                <w:lang w:val="ru-RU"/>
              </w:rPr>
              <w:t>;</w:t>
            </w:r>
          </w:p>
          <w:p w:rsidR="00B01D68" w:rsidRDefault="00B01D68" w:rsidP="00B01D6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5C097A">
              <w:rPr>
                <w:sz w:val="22"/>
                <w:szCs w:val="22"/>
                <w:lang w:val="ru-RU"/>
              </w:rPr>
              <w:t>Предоставяните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телефонни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услуги (</w:t>
            </w:r>
            <w:r w:rsidRPr="005C097A">
              <w:rPr>
                <w:sz w:val="22"/>
                <w:szCs w:val="22"/>
              </w:rPr>
              <w:t>ISDN</w:t>
            </w:r>
            <w:r w:rsidRPr="005C097A">
              <w:rPr>
                <w:sz w:val="22"/>
                <w:szCs w:val="22"/>
                <w:lang w:val="ru-RU"/>
              </w:rPr>
              <w:t xml:space="preserve">)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следва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да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п</w:t>
            </w:r>
            <w:r w:rsidRPr="005C097A">
              <w:rPr>
                <w:sz w:val="22"/>
                <w:szCs w:val="22"/>
                <w:lang w:val="ru-RU"/>
              </w:rPr>
              <w:t>оддържат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Е</w:t>
            </w:r>
            <w:r w:rsidRPr="005C097A">
              <w:rPr>
                <w:sz w:val="22"/>
                <w:szCs w:val="22"/>
              </w:rPr>
              <w:t>URO</w:t>
            </w:r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r w:rsidRPr="005C097A">
              <w:rPr>
                <w:sz w:val="22"/>
                <w:szCs w:val="22"/>
              </w:rPr>
              <w:t>ISDN</w:t>
            </w:r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стандарти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; </w:t>
            </w:r>
          </w:p>
          <w:p w:rsidR="00B01D68" w:rsidRPr="001B22DE" w:rsidRDefault="00B01D68" w:rsidP="00B01D6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ru-RU"/>
              </w:rPr>
            </w:pPr>
            <w:r w:rsidRPr="005C097A">
              <w:rPr>
                <w:sz w:val="22"/>
                <w:szCs w:val="22"/>
              </w:rPr>
              <w:t>Fax</w:t>
            </w:r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съобщения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възможност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изпращане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получаване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на факс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съобщения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, без да е необходимо  </w:t>
            </w:r>
            <w:r>
              <w:rPr>
                <w:sz w:val="22"/>
                <w:szCs w:val="22"/>
              </w:rPr>
              <w:t>ОБЩИНА РУСЕ</w:t>
            </w:r>
            <w:r w:rsidRPr="005C097A">
              <w:rPr>
                <w:sz w:val="22"/>
                <w:szCs w:val="22"/>
                <w:lang w:val="ru-RU"/>
              </w:rPr>
              <w:t xml:space="preserve"> да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заплаща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допълнително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за устройства и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инсталация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необходими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ползване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услугата</w:t>
            </w:r>
            <w:proofErr w:type="spellEnd"/>
            <w:r>
              <w:rPr>
                <w:sz w:val="22"/>
                <w:szCs w:val="22"/>
                <w:lang w:val="bg-BG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B01D68" w:rsidRPr="007E636A" w:rsidRDefault="00B01D68" w:rsidP="00B01D6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ru-RU"/>
              </w:rPr>
            </w:pPr>
            <w:r w:rsidRPr="007E636A">
              <w:rPr>
                <w:sz w:val="22"/>
                <w:szCs w:val="22"/>
                <w:lang w:val="ru-RU"/>
              </w:rPr>
              <w:t xml:space="preserve">Да се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осигури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възможност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за </w:t>
            </w:r>
            <w:r w:rsidRPr="007E63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включване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автоматичен вход на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телефонната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централа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B01D68" w:rsidRPr="005C097A" w:rsidTr="00597722">
        <w:tc>
          <w:tcPr>
            <w:tcW w:w="675" w:type="dxa"/>
          </w:tcPr>
          <w:p w:rsidR="00B01D68" w:rsidRDefault="00B01D68" w:rsidP="00B01D6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8613" w:type="dxa"/>
          </w:tcPr>
          <w:p w:rsidR="00B01D68" w:rsidRPr="007E636A" w:rsidRDefault="00B01D68" w:rsidP="00597722">
            <w:pPr>
              <w:jc w:val="both"/>
              <w:rPr>
                <w:sz w:val="22"/>
                <w:szCs w:val="22"/>
                <w:lang w:val="ru-RU"/>
              </w:rPr>
            </w:pPr>
            <w:r w:rsidRPr="007E636A">
              <w:rPr>
                <w:sz w:val="22"/>
                <w:szCs w:val="22"/>
                <w:lang w:val="bg-BG"/>
              </w:rPr>
              <w:t xml:space="preserve">Да се осигури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възможност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запазване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съществуващите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636A">
              <w:rPr>
                <w:sz w:val="22"/>
                <w:szCs w:val="22"/>
                <w:lang w:val="ru-RU"/>
              </w:rPr>
              <w:t>фиксирани</w:t>
            </w:r>
            <w:proofErr w:type="spellEnd"/>
            <w:r w:rsidRPr="007E636A">
              <w:rPr>
                <w:sz w:val="22"/>
                <w:szCs w:val="22"/>
                <w:lang w:val="ru-RU"/>
              </w:rPr>
              <w:t xml:space="preserve"> номера на ВЪЗЛОЖИТЕЛЯ, </w:t>
            </w:r>
            <w:r>
              <w:rPr>
                <w:sz w:val="22"/>
                <w:szCs w:val="22"/>
              </w:rPr>
              <w:t xml:space="preserve">с </w:t>
            </w:r>
            <w:proofErr w:type="spellStart"/>
            <w:r>
              <w:rPr>
                <w:sz w:val="22"/>
                <w:szCs w:val="22"/>
              </w:rPr>
              <w:t>местоположение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E636A">
              <w:rPr>
                <w:spacing w:val="-1"/>
                <w:sz w:val="22"/>
                <w:szCs w:val="22"/>
                <w:lang w:val="ru-RU"/>
              </w:rPr>
              <w:t>посочен</w:t>
            </w:r>
            <w:r>
              <w:rPr>
                <w:spacing w:val="-1"/>
                <w:sz w:val="22"/>
                <w:szCs w:val="22"/>
                <w:lang w:val="ru-RU"/>
              </w:rPr>
              <w:t>о</w:t>
            </w:r>
            <w:proofErr w:type="spellEnd"/>
            <w:r w:rsidRPr="007E636A">
              <w:rPr>
                <w:spacing w:val="-1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7E636A">
              <w:rPr>
                <w:spacing w:val="-1"/>
                <w:sz w:val="22"/>
                <w:szCs w:val="22"/>
                <w:lang w:val="ru-RU"/>
              </w:rPr>
              <w:t>Списък</w:t>
            </w:r>
            <w:proofErr w:type="spellEnd"/>
            <w:r w:rsidRPr="007E636A">
              <w:rPr>
                <w:spacing w:val="-1"/>
                <w:sz w:val="22"/>
                <w:szCs w:val="22"/>
                <w:lang w:val="ru-RU"/>
              </w:rPr>
              <w:t xml:space="preserve"> №1</w:t>
            </w:r>
            <w:r>
              <w:rPr>
                <w:spacing w:val="-1"/>
                <w:sz w:val="22"/>
                <w:szCs w:val="22"/>
                <w:lang w:val="ru-RU"/>
              </w:rPr>
              <w:t>.</w:t>
            </w:r>
          </w:p>
        </w:tc>
      </w:tr>
      <w:tr w:rsidR="00B01D68" w:rsidRPr="005C097A" w:rsidTr="00597722">
        <w:tc>
          <w:tcPr>
            <w:tcW w:w="675" w:type="dxa"/>
          </w:tcPr>
          <w:p w:rsidR="00B01D68" w:rsidRPr="005C097A" w:rsidRDefault="00B01D68" w:rsidP="00B01D6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Pr="005C097A" w:rsidRDefault="00B01D68" w:rsidP="0059772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Да се </w:t>
            </w:r>
            <w:proofErr w:type="spellStart"/>
            <w:r>
              <w:rPr>
                <w:sz w:val="22"/>
                <w:szCs w:val="22"/>
                <w:lang w:val="ru-RU"/>
              </w:rPr>
              <w:t>запазят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географските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номера при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промяна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доставчика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и при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промяна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на адреса  /в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рамките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едно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населено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място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/ на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точките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на ВЪЗЛОЖИТЕЛЯ,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както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възможност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промяна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географски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номер и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избор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 w:rsidRPr="005C097A">
              <w:rPr>
                <w:sz w:val="22"/>
                <w:szCs w:val="22"/>
                <w:lang w:val="ru-RU"/>
              </w:rPr>
              <w:t xml:space="preserve">на нов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такъв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всички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изброени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за сметка на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доставчика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>.</w:t>
            </w:r>
          </w:p>
        </w:tc>
      </w:tr>
      <w:tr w:rsidR="00B01D68" w:rsidRPr="005C097A" w:rsidTr="00597722">
        <w:tc>
          <w:tcPr>
            <w:tcW w:w="675" w:type="dxa"/>
          </w:tcPr>
          <w:p w:rsidR="00B01D68" w:rsidRPr="00556670" w:rsidRDefault="00B01D68" w:rsidP="00B01D6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Pr="005C097A" w:rsidRDefault="00B01D68" w:rsidP="0059772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Да </w:t>
            </w:r>
            <w:proofErr w:type="spellStart"/>
            <w:r>
              <w:rPr>
                <w:sz w:val="22"/>
                <w:szCs w:val="22"/>
                <w:lang w:val="ru-RU"/>
              </w:rPr>
              <w:t>има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</w:t>
            </w:r>
            <w:r w:rsidRPr="005C097A">
              <w:rPr>
                <w:sz w:val="22"/>
                <w:szCs w:val="22"/>
                <w:lang w:val="ru-RU"/>
              </w:rPr>
              <w:t>ъзможност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за идентификация на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входящите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изходящите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обаждания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и за обратен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избор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идентифицирания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повикващ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>.</w:t>
            </w:r>
          </w:p>
        </w:tc>
      </w:tr>
      <w:tr w:rsidR="00B01D68" w:rsidRPr="005C097A" w:rsidTr="00597722">
        <w:tc>
          <w:tcPr>
            <w:tcW w:w="675" w:type="dxa"/>
          </w:tcPr>
          <w:p w:rsidR="00B01D68" w:rsidRPr="005C097A" w:rsidRDefault="00B01D68" w:rsidP="00B01D6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Pr="005C097A" w:rsidRDefault="00B01D68" w:rsidP="0059772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Да се </w:t>
            </w:r>
            <w:proofErr w:type="spellStart"/>
            <w:r>
              <w:rPr>
                <w:sz w:val="22"/>
                <w:szCs w:val="22"/>
                <w:lang w:val="ru-RU"/>
              </w:rPr>
              <w:t>о</w:t>
            </w:r>
            <w:r w:rsidRPr="005C097A">
              <w:rPr>
                <w:sz w:val="22"/>
                <w:szCs w:val="22"/>
                <w:lang w:val="ru-RU"/>
              </w:rPr>
              <w:t>сигур</w:t>
            </w:r>
            <w:r>
              <w:rPr>
                <w:sz w:val="22"/>
                <w:szCs w:val="22"/>
                <w:lang w:val="ru-RU"/>
              </w:rPr>
              <w:t>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достъп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безплатни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разговори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към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национални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номера за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спешни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повиквания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и до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безплатни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негеографски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номера 0800.</w:t>
            </w:r>
          </w:p>
        </w:tc>
      </w:tr>
      <w:tr w:rsidR="00B01D68" w:rsidRPr="005C097A" w:rsidTr="00597722">
        <w:tc>
          <w:tcPr>
            <w:tcW w:w="675" w:type="dxa"/>
          </w:tcPr>
          <w:p w:rsidR="00B01D68" w:rsidRPr="005C097A" w:rsidRDefault="00B01D68" w:rsidP="00B01D6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Pr="005C097A" w:rsidRDefault="00B01D68" w:rsidP="0059772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Да се </w:t>
            </w:r>
            <w:proofErr w:type="spellStart"/>
            <w:r>
              <w:rPr>
                <w:sz w:val="22"/>
                <w:szCs w:val="22"/>
                <w:lang w:val="ru-RU"/>
              </w:rPr>
              <w:t>осигури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възможност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за </w:t>
            </w:r>
            <w:r w:rsidRPr="005C097A">
              <w:rPr>
                <w:sz w:val="22"/>
                <w:szCs w:val="22"/>
                <w:lang w:val="ru-RU"/>
              </w:rPr>
              <w:t xml:space="preserve">разговори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към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номера 0700.</w:t>
            </w:r>
          </w:p>
        </w:tc>
      </w:tr>
      <w:tr w:rsidR="00B01D68" w:rsidRPr="005C097A" w:rsidTr="00597722">
        <w:tc>
          <w:tcPr>
            <w:tcW w:w="675" w:type="dxa"/>
          </w:tcPr>
          <w:p w:rsidR="00B01D68" w:rsidRPr="005C097A" w:rsidRDefault="00B01D68" w:rsidP="00B01D6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Pr="00755EAA" w:rsidRDefault="00B01D68" w:rsidP="00597722">
            <w:pPr>
              <w:shd w:val="clear" w:color="auto" w:fill="FFFFFF"/>
              <w:tabs>
                <w:tab w:val="left" w:pos="340"/>
              </w:tabs>
              <w:spacing w:line="240" w:lineRule="atLeast"/>
              <w:jc w:val="both"/>
              <w:rPr>
                <w:spacing w:val="-2"/>
                <w:lang w:val="bg-BG"/>
              </w:rPr>
            </w:pPr>
            <w:r>
              <w:rPr>
                <w:spacing w:val="-2"/>
                <w:lang w:val="bg-BG"/>
              </w:rPr>
              <w:t>Участникът</w:t>
            </w:r>
            <w:r w:rsidRPr="00EB6013">
              <w:rPr>
                <w:spacing w:val="-2"/>
                <w:lang w:val="bg-BG"/>
              </w:rPr>
              <w:t xml:space="preserve"> трябва да осигурява възможност за разширение и развитие на услугите.</w:t>
            </w:r>
          </w:p>
        </w:tc>
      </w:tr>
      <w:tr w:rsidR="00B01D68" w:rsidRPr="005C097A" w:rsidTr="00597722">
        <w:tc>
          <w:tcPr>
            <w:tcW w:w="675" w:type="dxa"/>
          </w:tcPr>
          <w:p w:rsidR="00B01D68" w:rsidRPr="005C097A" w:rsidRDefault="00B01D68" w:rsidP="00B01D6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Pr="005C097A" w:rsidRDefault="00B01D68" w:rsidP="00597722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5C097A">
              <w:rPr>
                <w:sz w:val="22"/>
                <w:szCs w:val="22"/>
                <w:lang w:val="ru-RU"/>
              </w:rPr>
              <w:t>Определеният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изпълнител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участник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предоставя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на  </w:t>
            </w:r>
            <w:r>
              <w:rPr>
                <w:sz w:val="22"/>
                <w:szCs w:val="22"/>
              </w:rPr>
              <w:t>ОБЩИНА РУСЕ</w:t>
            </w:r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безвъзмездно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детайлизирана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сметка за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ползваните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услуги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заедно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r w:rsidRPr="005C097A">
              <w:rPr>
                <w:sz w:val="22"/>
                <w:szCs w:val="22"/>
                <w:lang w:val="ru-RU"/>
              </w:rPr>
              <w:t>с фактура.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Второстепенните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разпоредители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 бюджета </w:t>
            </w:r>
            <w:proofErr w:type="spellStart"/>
            <w:r>
              <w:rPr>
                <w:sz w:val="22"/>
                <w:szCs w:val="22"/>
                <w:lang w:val="ru-RU"/>
              </w:rPr>
              <w:t>получават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отделни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фактури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ru-RU"/>
              </w:rPr>
              <w:t>детайлизирани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сметки. </w:t>
            </w:r>
            <w:proofErr w:type="spellStart"/>
            <w:r>
              <w:rPr>
                <w:sz w:val="22"/>
                <w:szCs w:val="22"/>
                <w:lang w:val="ru-RU"/>
              </w:rPr>
              <w:t>Списъкът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 </w:t>
            </w:r>
            <w:proofErr w:type="spellStart"/>
            <w:r>
              <w:rPr>
                <w:sz w:val="22"/>
                <w:szCs w:val="22"/>
                <w:lang w:val="ru-RU"/>
              </w:rPr>
              <w:t>второстепенни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разпоредители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ru-RU"/>
              </w:rPr>
              <w:t>ползваните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от </w:t>
            </w:r>
            <w:proofErr w:type="spellStart"/>
            <w:r>
              <w:rPr>
                <w:sz w:val="22"/>
                <w:szCs w:val="22"/>
                <w:lang w:val="ru-RU"/>
              </w:rPr>
              <w:t>тях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номера </w:t>
            </w:r>
            <w:proofErr w:type="spellStart"/>
            <w:r>
              <w:rPr>
                <w:sz w:val="22"/>
                <w:szCs w:val="22"/>
                <w:lang w:val="ru-RU"/>
              </w:rPr>
              <w:t>ще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бъде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предоставен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при </w:t>
            </w:r>
            <w:proofErr w:type="spellStart"/>
            <w:r>
              <w:rPr>
                <w:sz w:val="22"/>
                <w:szCs w:val="22"/>
                <w:lang w:val="ru-RU"/>
              </w:rPr>
              <w:t>сключване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договор.</w:t>
            </w:r>
          </w:p>
        </w:tc>
      </w:tr>
      <w:tr w:rsidR="00B01D68" w:rsidRPr="005C097A" w:rsidTr="00597722">
        <w:tc>
          <w:tcPr>
            <w:tcW w:w="675" w:type="dxa"/>
          </w:tcPr>
          <w:p w:rsidR="00B01D68" w:rsidRPr="005C097A" w:rsidRDefault="00B01D68" w:rsidP="00B01D6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Pr="005C097A" w:rsidRDefault="00B01D68" w:rsidP="00597722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5C097A">
              <w:rPr>
                <w:sz w:val="22"/>
                <w:szCs w:val="22"/>
                <w:lang w:val="ru-RU"/>
              </w:rPr>
              <w:t>Детайлизираната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сметка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следва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да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съдържа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най-малко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следната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информация: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всички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видове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ползвани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услуги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през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разплащателния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период,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брой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ползваните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услуги, обща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стойност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всеки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вид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ползвани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услуги, общ размер на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сметката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, размер на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данъчните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начисления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върху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сметката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изразен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както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проценти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към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размера на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сметката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така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и в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абсолютни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стойности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, размер на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договорените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отчисления, общ размер на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дължимата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сума без ДДС и с ДДС. </w:t>
            </w:r>
          </w:p>
        </w:tc>
      </w:tr>
      <w:tr w:rsidR="00B01D68" w:rsidRPr="005C097A" w:rsidTr="00597722">
        <w:tc>
          <w:tcPr>
            <w:tcW w:w="675" w:type="dxa"/>
          </w:tcPr>
          <w:p w:rsidR="00B01D68" w:rsidRPr="005C097A" w:rsidRDefault="00B01D68" w:rsidP="00B01D6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Pr="005C097A" w:rsidRDefault="00B01D68" w:rsidP="00597722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Избраният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Изпълнител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по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настоящата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обществена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поръчка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следва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да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предостави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оторизиран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представител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на  </w:t>
            </w:r>
            <w:r>
              <w:rPr>
                <w:sz w:val="22"/>
                <w:szCs w:val="22"/>
              </w:rPr>
              <w:t>ОБЩИНА РУСЕ</w:t>
            </w:r>
            <w:r w:rsidRPr="005C097A">
              <w:rPr>
                <w:sz w:val="22"/>
                <w:szCs w:val="22"/>
                <w:lang w:val="ru-RU"/>
              </w:rPr>
              <w:t xml:space="preserve"> права за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достъп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своята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информационна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система за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извършване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детайлизирана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справка за: всяко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осъществено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повикване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включително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осъществени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повиквания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към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безплатни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услуги;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стойността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на всяко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осъществено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повикване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;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датата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, часа и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продължителността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на всяко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осъществено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повикване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>.</w:t>
            </w:r>
          </w:p>
        </w:tc>
      </w:tr>
      <w:tr w:rsidR="00B01D68" w:rsidRPr="005C097A" w:rsidTr="00597722">
        <w:tc>
          <w:tcPr>
            <w:tcW w:w="675" w:type="dxa"/>
          </w:tcPr>
          <w:p w:rsidR="00B01D68" w:rsidRPr="005C097A" w:rsidRDefault="00B01D68" w:rsidP="00B01D6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Default="00B01D68" w:rsidP="0059772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pacing w:val="-2"/>
                <w:lang w:val="bg-BG"/>
              </w:rPr>
              <w:t>Участникът</w:t>
            </w:r>
            <w:r w:rsidRPr="00EB6013">
              <w:rPr>
                <w:spacing w:val="-2"/>
                <w:lang w:val="bg-BG"/>
              </w:rPr>
              <w:t xml:space="preserve"> трябва да освободи от заплащане услуги като: подробно електронно месечно извлечение, добавяне на нови абонати в корпоративната група, изваждане на абонати от корпоративната група.</w:t>
            </w:r>
          </w:p>
        </w:tc>
      </w:tr>
      <w:tr w:rsidR="00B01D68" w:rsidRPr="005C097A" w:rsidTr="00597722">
        <w:tc>
          <w:tcPr>
            <w:tcW w:w="675" w:type="dxa"/>
          </w:tcPr>
          <w:p w:rsidR="00B01D68" w:rsidRDefault="00B01D68" w:rsidP="00B01D6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Pr="005C097A" w:rsidRDefault="00B01D68" w:rsidP="0059772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Да </w:t>
            </w:r>
            <w:proofErr w:type="spellStart"/>
            <w:r>
              <w:rPr>
                <w:sz w:val="22"/>
                <w:szCs w:val="22"/>
                <w:lang w:val="ru-RU"/>
              </w:rPr>
              <w:t>бъде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предоставено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кратко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описане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ru-RU"/>
              </w:rPr>
              <w:t>о</w:t>
            </w:r>
            <w:r w:rsidRPr="005C097A">
              <w:rPr>
                <w:sz w:val="22"/>
                <w:szCs w:val="22"/>
                <w:lang w:val="ru-RU"/>
              </w:rPr>
              <w:t>сигуряване</w:t>
            </w:r>
            <w:r>
              <w:rPr>
                <w:sz w:val="22"/>
                <w:szCs w:val="22"/>
                <w:lang w:val="ru-RU"/>
              </w:rPr>
              <w:t>то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техническа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поддръжка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по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схемата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24х7х365 </w:t>
            </w:r>
            <w:proofErr w:type="spellStart"/>
            <w:r w:rsidRPr="005C097A">
              <w:rPr>
                <w:sz w:val="22"/>
                <w:szCs w:val="22"/>
              </w:rPr>
              <w:t>HelpDesk</w:t>
            </w:r>
            <w:proofErr w:type="spellEnd"/>
            <w:r>
              <w:rPr>
                <w:sz w:val="22"/>
                <w:szCs w:val="22"/>
                <w:lang w:val="bg-BG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телефон и  начини за </w:t>
            </w:r>
            <w:proofErr w:type="spellStart"/>
            <w:r>
              <w:rPr>
                <w:sz w:val="22"/>
                <w:szCs w:val="22"/>
                <w:lang w:val="ru-RU"/>
              </w:rPr>
              <w:t>връзка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B01D68" w:rsidRPr="005C097A" w:rsidTr="00597722">
        <w:tc>
          <w:tcPr>
            <w:tcW w:w="675" w:type="dxa"/>
          </w:tcPr>
          <w:p w:rsidR="00B01D68" w:rsidRPr="005C097A" w:rsidRDefault="00B01D68" w:rsidP="00B01D6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Pr="005C097A" w:rsidRDefault="00B01D68" w:rsidP="0059772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Да </w:t>
            </w:r>
            <w:proofErr w:type="spellStart"/>
            <w:r>
              <w:rPr>
                <w:sz w:val="22"/>
                <w:szCs w:val="22"/>
                <w:lang w:val="ru-RU"/>
              </w:rPr>
              <w:t>има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</w:t>
            </w:r>
            <w:r w:rsidRPr="005C097A">
              <w:rPr>
                <w:sz w:val="22"/>
                <w:szCs w:val="22"/>
                <w:lang w:val="ru-RU"/>
              </w:rPr>
              <w:t>ъзможност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за временно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спиране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ползването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директен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телефонен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пост или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преместване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на друг адрес без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заплащане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на такси, неустойки или санкции.</w:t>
            </w:r>
          </w:p>
        </w:tc>
      </w:tr>
      <w:tr w:rsidR="00B01D68" w:rsidRPr="00556670" w:rsidTr="00597722">
        <w:tc>
          <w:tcPr>
            <w:tcW w:w="675" w:type="dxa"/>
          </w:tcPr>
          <w:p w:rsidR="00B01D68" w:rsidRPr="00556670" w:rsidRDefault="00B01D68" w:rsidP="00B01D6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40"/>
              </w:tabs>
              <w:spacing w:line="240" w:lineRule="atLeast"/>
              <w:jc w:val="both"/>
              <w:rPr>
                <w:spacing w:val="-2"/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Pr="00556670" w:rsidRDefault="00B01D68" w:rsidP="00597722">
            <w:pPr>
              <w:shd w:val="clear" w:color="auto" w:fill="FFFFFF"/>
              <w:tabs>
                <w:tab w:val="left" w:pos="340"/>
              </w:tabs>
              <w:spacing w:line="240" w:lineRule="atLeast"/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proofErr w:type="spellStart"/>
            <w:r w:rsidRPr="00556670">
              <w:rPr>
                <w:spacing w:val="-2"/>
                <w:sz w:val="22"/>
                <w:szCs w:val="22"/>
                <w:lang w:val="ru-RU"/>
              </w:rPr>
              <w:t>Възможност</w:t>
            </w:r>
            <w:proofErr w:type="spellEnd"/>
            <w:r w:rsidRPr="00556670">
              <w:rPr>
                <w:spacing w:val="-2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556670">
              <w:rPr>
                <w:spacing w:val="-2"/>
                <w:sz w:val="22"/>
                <w:szCs w:val="22"/>
                <w:lang w:val="ru-RU"/>
              </w:rPr>
              <w:t>осъществяване</w:t>
            </w:r>
            <w:proofErr w:type="spellEnd"/>
            <w:r w:rsidRPr="00556670">
              <w:rPr>
                <w:spacing w:val="-2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56670">
              <w:rPr>
                <w:bCs/>
                <w:iCs/>
                <w:sz w:val="22"/>
                <w:szCs w:val="22"/>
                <w:lang w:val="ru-RU"/>
              </w:rPr>
              <w:t>безплатни</w:t>
            </w:r>
            <w:proofErr w:type="spellEnd"/>
            <w:r w:rsidRPr="00556670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6670">
              <w:rPr>
                <w:bCs/>
                <w:iCs/>
                <w:sz w:val="22"/>
                <w:szCs w:val="22"/>
                <w:lang w:val="ru-RU"/>
              </w:rPr>
              <w:t>повиквания</w:t>
            </w:r>
            <w:proofErr w:type="spellEnd"/>
            <w:r w:rsidRPr="00556670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6670">
              <w:rPr>
                <w:bCs/>
                <w:iCs/>
                <w:sz w:val="22"/>
                <w:szCs w:val="22"/>
                <w:lang w:val="ru-RU"/>
              </w:rPr>
              <w:t>към</w:t>
            </w:r>
            <w:proofErr w:type="spellEnd"/>
            <w:r w:rsidRPr="00556670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6670">
              <w:rPr>
                <w:bCs/>
                <w:iCs/>
                <w:sz w:val="22"/>
                <w:szCs w:val="22"/>
                <w:lang w:val="ru-RU"/>
              </w:rPr>
              <w:t>националния</w:t>
            </w:r>
            <w:proofErr w:type="spellEnd"/>
            <w:r w:rsidRPr="00556670">
              <w:rPr>
                <w:bCs/>
                <w:iCs/>
                <w:sz w:val="22"/>
                <w:szCs w:val="22"/>
                <w:lang w:val="ru-RU"/>
              </w:rPr>
              <w:t xml:space="preserve"> номер за </w:t>
            </w:r>
            <w:proofErr w:type="spellStart"/>
            <w:r w:rsidRPr="00556670">
              <w:rPr>
                <w:bCs/>
                <w:iCs/>
                <w:sz w:val="22"/>
                <w:szCs w:val="22"/>
                <w:lang w:val="ru-RU"/>
              </w:rPr>
              <w:t>достъп</w:t>
            </w:r>
            <w:proofErr w:type="spellEnd"/>
            <w:r w:rsidRPr="00556670">
              <w:rPr>
                <w:bCs/>
                <w:iCs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556670">
              <w:rPr>
                <w:bCs/>
                <w:iCs/>
                <w:sz w:val="22"/>
                <w:szCs w:val="22"/>
                <w:lang w:val="ru-RU"/>
              </w:rPr>
              <w:t>спешни</w:t>
            </w:r>
            <w:proofErr w:type="spellEnd"/>
            <w:r w:rsidRPr="00556670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6670">
              <w:rPr>
                <w:bCs/>
                <w:iCs/>
                <w:sz w:val="22"/>
                <w:szCs w:val="22"/>
                <w:lang w:val="ru-RU"/>
              </w:rPr>
              <w:t>повиквания</w:t>
            </w:r>
            <w:proofErr w:type="spellEnd"/>
            <w:r w:rsidRPr="00556670">
              <w:rPr>
                <w:bCs/>
                <w:iCs/>
                <w:sz w:val="22"/>
                <w:szCs w:val="22"/>
                <w:lang w:val="ru-RU"/>
              </w:rPr>
              <w:t xml:space="preserve"> –112.</w:t>
            </w:r>
          </w:p>
        </w:tc>
      </w:tr>
      <w:tr w:rsidR="00B01D68" w:rsidRPr="00556670" w:rsidTr="00597722">
        <w:tc>
          <w:tcPr>
            <w:tcW w:w="675" w:type="dxa"/>
          </w:tcPr>
          <w:p w:rsidR="00B01D68" w:rsidRPr="00556670" w:rsidRDefault="00B01D68" w:rsidP="00B01D6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40"/>
              </w:tabs>
              <w:spacing w:line="240" w:lineRule="atLeast"/>
              <w:jc w:val="both"/>
              <w:rPr>
                <w:spacing w:val="-2"/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Pr="00EB6013" w:rsidRDefault="00B01D68" w:rsidP="00597722">
            <w:pPr>
              <w:shd w:val="clear" w:color="auto" w:fill="FFFFFF"/>
              <w:tabs>
                <w:tab w:val="left" w:pos="340"/>
              </w:tabs>
              <w:spacing w:line="240" w:lineRule="atLeast"/>
              <w:jc w:val="both"/>
              <w:rPr>
                <w:spacing w:val="-2"/>
                <w:lang w:val="bg-BG"/>
              </w:rPr>
            </w:pPr>
            <w:r>
              <w:rPr>
                <w:spacing w:val="-2"/>
                <w:lang w:val="bg-BG"/>
              </w:rPr>
              <w:t xml:space="preserve">Участникът </w:t>
            </w:r>
            <w:r w:rsidRPr="00EB6013">
              <w:rPr>
                <w:spacing w:val="-2"/>
                <w:lang w:val="bg-BG"/>
              </w:rPr>
              <w:t>трябва да предложи преференциални цени за разговори в мрежата си.</w:t>
            </w:r>
          </w:p>
          <w:p w:rsidR="00B01D68" w:rsidRPr="00556670" w:rsidRDefault="00B01D68" w:rsidP="00597722">
            <w:pPr>
              <w:shd w:val="clear" w:color="auto" w:fill="FFFFFF"/>
              <w:tabs>
                <w:tab w:val="left" w:pos="340"/>
              </w:tabs>
              <w:spacing w:line="240" w:lineRule="atLeast"/>
              <w:jc w:val="both"/>
              <w:rPr>
                <w:spacing w:val="-2"/>
                <w:sz w:val="22"/>
                <w:szCs w:val="22"/>
                <w:lang w:val="ru-RU"/>
              </w:rPr>
            </w:pPr>
          </w:p>
        </w:tc>
      </w:tr>
      <w:tr w:rsidR="00B01D68" w:rsidRPr="00556670" w:rsidTr="00597722">
        <w:tc>
          <w:tcPr>
            <w:tcW w:w="675" w:type="dxa"/>
          </w:tcPr>
          <w:p w:rsidR="00B01D68" w:rsidRPr="00556670" w:rsidRDefault="00B01D68" w:rsidP="00B01D6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40"/>
              </w:tabs>
              <w:spacing w:line="240" w:lineRule="atLeast"/>
              <w:jc w:val="both"/>
              <w:rPr>
                <w:spacing w:val="-2"/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Pr="00D403A7" w:rsidRDefault="00B01D68" w:rsidP="00597722">
            <w:pPr>
              <w:shd w:val="clear" w:color="auto" w:fill="FFFFFF"/>
              <w:tabs>
                <w:tab w:val="left" w:pos="340"/>
              </w:tabs>
              <w:spacing w:line="240" w:lineRule="atLeast"/>
              <w:jc w:val="both"/>
              <w:rPr>
                <w:sz w:val="22"/>
                <w:szCs w:val="22"/>
                <w:lang w:val="bg-BG"/>
              </w:rPr>
            </w:pPr>
            <w:r w:rsidRPr="005C097A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Участникът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да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предложи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пакет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безплатни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минути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 xml:space="preserve">фиксирани </w:t>
            </w:r>
            <w:proofErr w:type="spellStart"/>
            <w:r w:rsidRPr="005C097A">
              <w:rPr>
                <w:sz w:val="22"/>
                <w:szCs w:val="22"/>
              </w:rPr>
              <w:t>разговори</w:t>
            </w:r>
            <w:proofErr w:type="spellEnd"/>
            <w:r w:rsidRPr="005C097A">
              <w:rPr>
                <w:sz w:val="22"/>
                <w:szCs w:val="22"/>
              </w:rPr>
              <w:t xml:space="preserve">, </w:t>
            </w:r>
            <w:proofErr w:type="spellStart"/>
            <w:r w:rsidRPr="005C097A">
              <w:rPr>
                <w:sz w:val="22"/>
                <w:szCs w:val="22"/>
              </w:rPr>
              <w:t>при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условие</w:t>
            </w:r>
            <w:proofErr w:type="spellEnd"/>
            <w:r w:rsidRPr="005C097A">
              <w:rPr>
                <w:sz w:val="22"/>
                <w:szCs w:val="22"/>
              </w:rPr>
              <w:t xml:space="preserve">, </w:t>
            </w:r>
            <w:proofErr w:type="spellStart"/>
            <w:r w:rsidRPr="005C097A">
              <w:rPr>
                <w:sz w:val="22"/>
                <w:szCs w:val="22"/>
              </w:rPr>
              <w:t>че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тези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безплатни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минути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се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предоставят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като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пакет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за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всяка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от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локациите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на</w:t>
            </w:r>
            <w:proofErr w:type="spellEnd"/>
            <w:r w:rsidRPr="005C097A">
              <w:rPr>
                <w:sz w:val="22"/>
                <w:szCs w:val="22"/>
              </w:rPr>
              <w:t xml:space="preserve"> ВЪЗЛОЖИТЕЛЯ, </w:t>
            </w:r>
            <w:proofErr w:type="spellStart"/>
            <w:r w:rsidRPr="005C097A">
              <w:rPr>
                <w:sz w:val="22"/>
                <w:szCs w:val="22"/>
              </w:rPr>
              <w:t>пропорционално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на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броя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линии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или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за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всяка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разговорна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линия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по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отде</w:t>
            </w:r>
            <w:r>
              <w:rPr>
                <w:sz w:val="22"/>
                <w:szCs w:val="22"/>
                <w:lang w:val="bg-BG"/>
              </w:rPr>
              <w:t>лно</w:t>
            </w:r>
            <w:proofErr w:type="spellEnd"/>
            <w:r>
              <w:rPr>
                <w:sz w:val="22"/>
                <w:szCs w:val="22"/>
                <w:lang w:val="bg-BG"/>
              </w:rPr>
              <w:t>.</w:t>
            </w:r>
          </w:p>
        </w:tc>
      </w:tr>
      <w:tr w:rsidR="00B01D68" w:rsidRPr="00556670" w:rsidTr="00597722">
        <w:tc>
          <w:tcPr>
            <w:tcW w:w="675" w:type="dxa"/>
          </w:tcPr>
          <w:p w:rsidR="00B01D68" w:rsidRPr="00556670" w:rsidRDefault="00B01D68" w:rsidP="00B01D6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40"/>
              </w:tabs>
              <w:spacing w:line="240" w:lineRule="atLeast"/>
              <w:jc w:val="both"/>
              <w:rPr>
                <w:spacing w:val="-2"/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Pr="005C097A" w:rsidRDefault="00B01D68" w:rsidP="00597722">
            <w:pPr>
              <w:shd w:val="clear" w:color="auto" w:fill="FFFFFF"/>
              <w:tabs>
                <w:tab w:val="left" w:pos="340"/>
              </w:tabs>
              <w:spacing w:line="240" w:lineRule="atLeast"/>
              <w:jc w:val="both"/>
              <w:rPr>
                <w:spacing w:val="-2"/>
                <w:sz w:val="22"/>
                <w:szCs w:val="22"/>
              </w:rPr>
            </w:pPr>
            <w:proofErr w:type="spellStart"/>
            <w:r w:rsidRPr="005C097A">
              <w:rPr>
                <w:sz w:val="22"/>
                <w:szCs w:val="22"/>
              </w:rPr>
              <w:t>Недопустимо</w:t>
            </w:r>
            <w:proofErr w:type="spellEnd"/>
            <w:r w:rsidRPr="005C097A">
              <w:rPr>
                <w:sz w:val="22"/>
                <w:szCs w:val="22"/>
              </w:rPr>
              <w:t xml:space="preserve"> е </w:t>
            </w:r>
            <w:proofErr w:type="spellStart"/>
            <w:r w:rsidRPr="005C097A">
              <w:rPr>
                <w:sz w:val="22"/>
                <w:szCs w:val="22"/>
              </w:rPr>
              <w:t>начисляването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на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първоначална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такса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свързване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на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предложените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безплатни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минути</w:t>
            </w:r>
            <w:proofErr w:type="spellEnd"/>
            <w:r w:rsidRPr="005C097A">
              <w:rPr>
                <w:sz w:val="22"/>
                <w:szCs w:val="22"/>
              </w:rPr>
              <w:t xml:space="preserve">, </w:t>
            </w:r>
            <w:proofErr w:type="spellStart"/>
            <w:r w:rsidRPr="005C097A">
              <w:rPr>
                <w:sz w:val="22"/>
                <w:szCs w:val="22"/>
              </w:rPr>
              <w:t>както</w:t>
            </w:r>
            <w:proofErr w:type="spellEnd"/>
            <w:r w:rsidRPr="005C097A">
              <w:rPr>
                <w:sz w:val="22"/>
                <w:szCs w:val="22"/>
              </w:rPr>
              <w:t xml:space="preserve"> и </w:t>
            </w:r>
            <w:proofErr w:type="spellStart"/>
            <w:r w:rsidRPr="005C097A">
              <w:rPr>
                <w:sz w:val="22"/>
                <w:szCs w:val="22"/>
              </w:rPr>
              <w:t>при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провеждането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C32EC">
              <w:rPr>
                <w:sz w:val="22"/>
                <w:szCs w:val="22"/>
              </w:rPr>
              <w:t>разговори</w:t>
            </w:r>
            <w:proofErr w:type="spellEnd"/>
            <w:r w:rsidRPr="003C32EC">
              <w:rPr>
                <w:sz w:val="22"/>
                <w:szCs w:val="22"/>
              </w:rPr>
              <w:t xml:space="preserve"> с  </w:t>
            </w:r>
            <w:proofErr w:type="spellStart"/>
            <w:r w:rsidRPr="003C32EC">
              <w:rPr>
                <w:sz w:val="22"/>
                <w:szCs w:val="22"/>
              </w:rPr>
              <w:t>мобилни</w:t>
            </w:r>
            <w:proofErr w:type="spellEnd"/>
            <w:r w:rsidRPr="003C32EC">
              <w:rPr>
                <w:sz w:val="22"/>
                <w:szCs w:val="22"/>
              </w:rPr>
              <w:t xml:space="preserve"> </w:t>
            </w:r>
            <w:proofErr w:type="spellStart"/>
            <w:r w:rsidRPr="003C32EC">
              <w:rPr>
                <w:sz w:val="22"/>
                <w:szCs w:val="22"/>
              </w:rPr>
              <w:t>абонати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международни</w:t>
            </w:r>
            <w:proofErr w:type="spellEnd"/>
            <w:r w:rsidRPr="005C097A">
              <w:rPr>
                <w:sz w:val="22"/>
                <w:szCs w:val="22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</w:rPr>
              <w:t>разговори</w:t>
            </w:r>
            <w:proofErr w:type="spellEnd"/>
            <w:r w:rsidRPr="005C097A">
              <w:rPr>
                <w:sz w:val="22"/>
                <w:szCs w:val="22"/>
              </w:rPr>
              <w:t>.</w:t>
            </w:r>
          </w:p>
        </w:tc>
      </w:tr>
      <w:tr w:rsidR="00B01D68" w:rsidRPr="00556670" w:rsidTr="00597722">
        <w:tc>
          <w:tcPr>
            <w:tcW w:w="675" w:type="dxa"/>
          </w:tcPr>
          <w:p w:rsidR="00B01D68" w:rsidRPr="00556670" w:rsidRDefault="00B01D68" w:rsidP="00B01D6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40"/>
              </w:tabs>
              <w:spacing w:line="240" w:lineRule="atLeast"/>
              <w:jc w:val="both"/>
              <w:rPr>
                <w:spacing w:val="-2"/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Pr="005C097A" w:rsidRDefault="00B01D68" w:rsidP="00597722">
            <w:pPr>
              <w:shd w:val="clear" w:color="auto" w:fill="FFFFFF"/>
              <w:tabs>
                <w:tab w:val="left" w:pos="340"/>
              </w:tabs>
              <w:spacing w:line="240" w:lineRule="atLeast"/>
              <w:jc w:val="both"/>
              <w:rPr>
                <w:sz w:val="22"/>
                <w:szCs w:val="22"/>
              </w:rPr>
            </w:pPr>
            <w:proofErr w:type="spellStart"/>
            <w:r w:rsidRPr="00556670">
              <w:rPr>
                <w:sz w:val="22"/>
                <w:szCs w:val="22"/>
                <w:lang w:val="ru-RU"/>
              </w:rPr>
              <w:t>Изисквания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към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таксуването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продължителността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на разговорите и на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предложените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минути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: максимален период на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първоначално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таксуване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-  </w:t>
            </w:r>
            <w:r w:rsidRPr="003A4837">
              <w:rPr>
                <w:sz w:val="22"/>
                <w:szCs w:val="22"/>
                <w:lang w:val="ru-RU"/>
              </w:rPr>
              <w:t xml:space="preserve">30 </w:t>
            </w:r>
            <w:proofErr w:type="spellStart"/>
            <w:r w:rsidRPr="003A4837">
              <w:rPr>
                <w:sz w:val="22"/>
                <w:szCs w:val="22"/>
                <w:lang w:val="ru-RU"/>
              </w:rPr>
              <w:t>секунди</w:t>
            </w:r>
            <w:proofErr w:type="spellEnd"/>
            <w:r w:rsidRPr="003A4837">
              <w:rPr>
                <w:sz w:val="22"/>
                <w:szCs w:val="22"/>
                <w:lang w:val="ru-RU"/>
              </w:rPr>
              <w:t xml:space="preserve">, </w:t>
            </w:r>
            <w:r w:rsidRPr="00556670">
              <w:rPr>
                <w:sz w:val="22"/>
                <w:szCs w:val="22"/>
                <w:lang w:val="ru-RU"/>
              </w:rPr>
              <w:t xml:space="preserve">след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това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таксуването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да се </w:t>
            </w:r>
            <w:proofErr w:type="spellStart"/>
            <w:r>
              <w:rPr>
                <w:sz w:val="22"/>
                <w:szCs w:val="22"/>
                <w:lang w:val="ru-RU"/>
              </w:rPr>
              <w:t>извършва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всяка секунда </w:t>
            </w:r>
            <w:proofErr w:type="spellStart"/>
            <w:r>
              <w:rPr>
                <w:sz w:val="22"/>
                <w:szCs w:val="22"/>
                <w:lang w:val="ru-RU"/>
              </w:rPr>
              <w:t>съгл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</w:rPr>
              <w:t xml:space="preserve">Чл.50 (1)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60B8E">
              <w:rPr>
                <w:rFonts w:eastAsia="Calibri"/>
                <w:i/>
                <w:sz w:val="22"/>
                <w:szCs w:val="22"/>
                <w:lang w:val="bg-BG" w:eastAsia="bg-BG"/>
              </w:rPr>
              <w:t>„</w:t>
            </w:r>
            <w:r w:rsidRPr="00360B8E">
              <w:rPr>
                <w:rFonts w:eastAsia="Calibri"/>
                <w:bCs/>
                <w:i/>
                <w:color w:val="000000"/>
                <w:sz w:val="22"/>
                <w:szCs w:val="22"/>
                <w:lang w:val="bg-BG" w:eastAsia="bg-BG"/>
              </w:rPr>
              <w:t>Общи  изисквания при осъществяване на обществени електронни съобщения”</w:t>
            </w:r>
            <w:r w:rsidRPr="008C5456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364B93">
              <w:rPr>
                <w:rFonts w:eastAsia="Calibri"/>
                <w:bCs/>
                <w:i/>
                <w:iCs/>
                <w:color w:val="000000"/>
                <w:sz w:val="22"/>
                <w:szCs w:val="22"/>
                <w:lang w:val="bg-BG" w:eastAsia="bg-BG"/>
              </w:rPr>
              <w:t xml:space="preserve">изм. </w:t>
            </w:r>
            <w:r>
              <w:rPr>
                <w:rFonts w:eastAsia="Calibri"/>
                <w:bCs/>
                <w:i/>
                <w:iCs/>
                <w:color w:val="000000"/>
                <w:sz w:val="22"/>
                <w:szCs w:val="22"/>
                <w:lang w:val="bg-BG" w:eastAsia="bg-BG"/>
              </w:rPr>
              <w:t>и</w:t>
            </w:r>
            <w:r w:rsidRPr="00364B93">
              <w:rPr>
                <w:rFonts w:eastAsia="Calibri"/>
                <w:bCs/>
                <w:i/>
                <w:iCs/>
                <w:color w:val="000000"/>
                <w:sz w:val="22"/>
                <w:szCs w:val="22"/>
                <w:lang w:val="bg-BG" w:eastAsia="bg-BG"/>
              </w:rPr>
              <w:t xml:space="preserve"> доп. ДВ. Бр.4 от 14 Януари 2014г.</w:t>
            </w:r>
            <w:r w:rsidRPr="00364B93"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  <w:t>,</w:t>
            </w:r>
          </w:p>
        </w:tc>
      </w:tr>
      <w:tr w:rsidR="00B01D68" w:rsidRPr="00556670" w:rsidTr="00597722">
        <w:trPr>
          <w:trHeight w:val="1170"/>
        </w:trPr>
        <w:tc>
          <w:tcPr>
            <w:tcW w:w="675" w:type="dxa"/>
          </w:tcPr>
          <w:p w:rsidR="00B01D68" w:rsidRPr="00556670" w:rsidRDefault="00B01D68" w:rsidP="00B01D6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Pr="00556670" w:rsidRDefault="00B01D68" w:rsidP="00597722">
            <w:pPr>
              <w:jc w:val="both"/>
              <w:rPr>
                <w:spacing w:val="-2"/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Участникът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трябва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като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оператор на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обществени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фиксирани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телефонни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мрежи и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предоставяне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гласова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телефонна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услуги, да </w:t>
            </w:r>
            <w:r>
              <w:rPr>
                <w:sz w:val="22"/>
                <w:szCs w:val="22"/>
                <w:lang w:val="ru-RU"/>
              </w:rPr>
              <w:t xml:space="preserve">предложи </w:t>
            </w:r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услугите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без такса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инсталация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и/или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каквито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и да било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еднократни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такси за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активиране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деактивиране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промяна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преместване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други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по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предоставяните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фиксирани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услуги</w:t>
            </w:r>
            <w:r>
              <w:rPr>
                <w:sz w:val="22"/>
                <w:szCs w:val="22"/>
                <w:lang w:val="ru-RU"/>
              </w:rPr>
              <w:t xml:space="preserve">. </w:t>
            </w:r>
          </w:p>
        </w:tc>
      </w:tr>
      <w:tr w:rsidR="00B01D68" w:rsidRPr="00556670" w:rsidTr="00597722">
        <w:tc>
          <w:tcPr>
            <w:tcW w:w="675" w:type="dxa"/>
          </w:tcPr>
          <w:p w:rsidR="00B01D68" w:rsidRPr="00556670" w:rsidRDefault="00B01D68" w:rsidP="00B01D68">
            <w:pPr>
              <w:numPr>
                <w:ilvl w:val="0"/>
                <w:numId w:val="4"/>
              </w:numPr>
              <w:jc w:val="both"/>
              <w:rPr>
                <w:spacing w:val="-2"/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Pr="004F4F82" w:rsidRDefault="00B01D68" w:rsidP="0059772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  <w:lang w:val="ru-RU"/>
              </w:rPr>
              <w:t>Участникът</w:t>
            </w:r>
            <w:proofErr w:type="spellEnd"/>
            <w:r w:rsidRPr="00556670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6670">
              <w:rPr>
                <w:spacing w:val="-2"/>
                <w:sz w:val="22"/>
                <w:szCs w:val="22"/>
                <w:lang w:val="ru-RU"/>
              </w:rPr>
              <w:t>трябва</w:t>
            </w:r>
            <w:proofErr w:type="spellEnd"/>
            <w:r w:rsidRPr="00556670">
              <w:rPr>
                <w:spacing w:val="-2"/>
                <w:sz w:val="22"/>
                <w:szCs w:val="22"/>
                <w:lang w:val="ru-RU"/>
              </w:rPr>
              <w:t xml:space="preserve"> да </w:t>
            </w:r>
            <w:proofErr w:type="spellStart"/>
            <w:r w:rsidRPr="00556670">
              <w:rPr>
                <w:spacing w:val="-2"/>
                <w:sz w:val="22"/>
                <w:szCs w:val="22"/>
                <w:lang w:val="ru-RU"/>
              </w:rPr>
              <w:t>осигурява</w:t>
            </w:r>
            <w:proofErr w:type="spellEnd"/>
            <w:r w:rsidRPr="00556670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предварително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уведомяване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прекъсване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услугите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при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извършване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ремонти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поради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развитие на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съобщителна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мрежа,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както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и за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сроковете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прекъсването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влошав</w:t>
            </w:r>
            <w:r>
              <w:rPr>
                <w:sz w:val="22"/>
                <w:szCs w:val="22"/>
                <w:lang w:val="ru-RU"/>
              </w:rPr>
              <w:t>ането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ru-RU"/>
              </w:rPr>
              <w:t>качеството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ru-RU"/>
              </w:rPr>
              <w:t>услугата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тел.</w:t>
            </w:r>
            <w:r>
              <w:rPr>
                <w:rFonts w:ascii="Arial" w:hAnsi="Arial" w:cs="Arial"/>
                <w:color w:val="2F2F2F"/>
                <w:sz w:val="21"/>
                <w:szCs w:val="21"/>
              </w:rPr>
              <w:t xml:space="preserve"> </w:t>
            </w:r>
            <w:r w:rsidRPr="004E3512">
              <w:rPr>
                <w:sz w:val="21"/>
                <w:szCs w:val="21"/>
              </w:rPr>
              <w:t>082/881 812</w:t>
            </w:r>
            <w:r w:rsidRPr="004E3512">
              <w:rPr>
                <w:sz w:val="22"/>
                <w:szCs w:val="22"/>
                <w:lang w:val="ru-RU"/>
              </w:rPr>
              <w:t xml:space="preserve"> или e-</w:t>
            </w:r>
            <w:proofErr w:type="spellStart"/>
            <w:r w:rsidRPr="004E3512">
              <w:rPr>
                <w:sz w:val="22"/>
                <w:szCs w:val="22"/>
                <w:lang w:val="ru-RU"/>
              </w:rPr>
              <w:t>mail</w:t>
            </w:r>
            <w:proofErr w:type="spellEnd"/>
            <w:r w:rsidRPr="004E3512">
              <w:rPr>
                <w:sz w:val="21"/>
                <w:szCs w:val="21"/>
              </w:rPr>
              <w:t xml:space="preserve"> </w:t>
            </w:r>
            <w:hyperlink r:id="rId6" w:history="1">
              <w:r w:rsidRPr="004E3512">
                <w:rPr>
                  <w:bCs/>
                  <w:sz w:val="21"/>
                  <w:szCs w:val="21"/>
                </w:rPr>
                <w:t>mayor@ruse-bg.</w:t>
              </w:r>
              <w:r w:rsidRPr="004E3512">
                <w:rPr>
                  <w:b/>
                  <w:bCs/>
                  <w:sz w:val="21"/>
                  <w:szCs w:val="21"/>
                </w:rPr>
                <w:t>eu</w:t>
              </w:r>
            </w:hyperlink>
            <w:r w:rsidRPr="004E3512">
              <w:rPr>
                <w:sz w:val="22"/>
                <w:szCs w:val="22"/>
              </w:rPr>
              <w:t>.</w:t>
            </w:r>
            <w:r w:rsidRPr="004E3512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B01D68" w:rsidRPr="00556670" w:rsidTr="00597722">
        <w:tc>
          <w:tcPr>
            <w:tcW w:w="675" w:type="dxa"/>
          </w:tcPr>
          <w:p w:rsidR="00B01D68" w:rsidRPr="00556670" w:rsidRDefault="00B01D68" w:rsidP="00B01D68">
            <w:pPr>
              <w:numPr>
                <w:ilvl w:val="0"/>
                <w:numId w:val="4"/>
              </w:numPr>
              <w:jc w:val="both"/>
              <w:rPr>
                <w:spacing w:val="-2"/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Default="00B01D68" w:rsidP="00597722">
            <w:pPr>
              <w:jc w:val="both"/>
              <w:rPr>
                <w:spacing w:val="-2"/>
                <w:sz w:val="22"/>
                <w:szCs w:val="22"/>
                <w:lang w:val="ru-RU"/>
              </w:rPr>
            </w:pP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опасност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нарушаване</w:t>
            </w:r>
            <w:proofErr w:type="spellEnd"/>
            <w:r>
              <w:t xml:space="preserve"> </w:t>
            </w:r>
            <w:proofErr w:type="spellStart"/>
            <w:r>
              <w:t>сигурността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електронните</w:t>
            </w:r>
            <w:proofErr w:type="spellEnd"/>
            <w:r>
              <w:t xml:space="preserve"> </w:t>
            </w:r>
            <w:proofErr w:type="spellStart"/>
            <w:r>
              <w:t>съобщителни</w:t>
            </w:r>
            <w:proofErr w:type="spellEnd"/>
            <w:r>
              <w:t xml:space="preserve"> </w:t>
            </w:r>
            <w:proofErr w:type="spellStart"/>
            <w:r>
              <w:t>мрежи</w:t>
            </w:r>
            <w:proofErr w:type="spellEnd"/>
            <w:r>
              <w:t xml:space="preserve"> </w:t>
            </w:r>
            <w:r>
              <w:rPr>
                <w:lang w:val="bg-BG"/>
              </w:rPr>
              <w:t xml:space="preserve">на Участника или пробив в  неговите информационни системи </w:t>
            </w:r>
            <w:proofErr w:type="spellStart"/>
            <w:r>
              <w:rPr>
                <w:lang w:val="bg-BG"/>
              </w:rPr>
              <w:t>касаеща</w:t>
            </w:r>
            <w:proofErr w:type="spellEnd"/>
            <w:r>
              <w:rPr>
                <w:lang w:val="bg-BG"/>
              </w:rPr>
              <w:t xml:space="preserve"> </w:t>
            </w:r>
            <w:r>
              <w:t xml:space="preserve"> </w:t>
            </w:r>
            <w:r>
              <w:rPr>
                <w:lang w:val="bg-BG"/>
              </w:rPr>
              <w:t xml:space="preserve">ОБЩИНА РУСЕ, </w:t>
            </w:r>
            <w:r>
              <w:t xml:space="preserve"> </w:t>
            </w:r>
            <w:r>
              <w:rPr>
                <w:lang w:val="bg-BG"/>
              </w:rPr>
              <w:t>същия трябва</w:t>
            </w:r>
            <w:r>
              <w:t xml:space="preserve"> </w:t>
            </w:r>
            <w:r>
              <w:rPr>
                <w:lang w:val="bg-BG"/>
              </w:rPr>
              <w:t xml:space="preserve">незабавно да </w:t>
            </w:r>
            <w:proofErr w:type="spellStart"/>
            <w:r>
              <w:t>уведом</w:t>
            </w:r>
            <w:proofErr w:type="spellEnd"/>
            <w:r>
              <w:rPr>
                <w:lang w:val="bg-BG"/>
              </w:rPr>
              <w:t>и</w:t>
            </w:r>
            <w:r>
              <w:t xml:space="preserve"> </w:t>
            </w:r>
            <w:r>
              <w:rPr>
                <w:lang w:val="bg-BG"/>
              </w:rPr>
              <w:t xml:space="preserve">Възложителя. </w:t>
            </w:r>
            <w:r>
              <w:t xml:space="preserve"> </w:t>
            </w:r>
          </w:p>
        </w:tc>
      </w:tr>
      <w:tr w:rsidR="00B01D68" w:rsidRPr="00556670" w:rsidTr="00597722">
        <w:tc>
          <w:tcPr>
            <w:tcW w:w="675" w:type="dxa"/>
          </w:tcPr>
          <w:p w:rsidR="00B01D68" w:rsidRPr="00556670" w:rsidRDefault="00B01D68" w:rsidP="00B01D68">
            <w:pPr>
              <w:numPr>
                <w:ilvl w:val="0"/>
                <w:numId w:val="4"/>
              </w:numPr>
              <w:jc w:val="both"/>
              <w:rPr>
                <w:spacing w:val="-2"/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Default="00B01D68" w:rsidP="00597722">
            <w:pPr>
              <w:jc w:val="both"/>
            </w:pPr>
            <w:proofErr w:type="spellStart"/>
            <w:r w:rsidRPr="00163D06">
              <w:rPr>
                <w:lang w:val="ru-RU"/>
              </w:rPr>
              <w:t>Предоставеното</w:t>
            </w:r>
            <w:proofErr w:type="spellEnd"/>
            <w:r w:rsidRPr="00163D06">
              <w:rPr>
                <w:lang w:val="ru-RU"/>
              </w:rPr>
              <w:t xml:space="preserve"> за </w:t>
            </w:r>
            <w:proofErr w:type="spellStart"/>
            <w:r w:rsidRPr="00163D06">
              <w:rPr>
                <w:lang w:val="ru-RU"/>
              </w:rPr>
              <w:t>ползване</w:t>
            </w:r>
            <w:proofErr w:type="spellEnd"/>
            <w:r w:rsidRPr="00163D06">
              <w:rPr>
                <w:lang w:val="ru-RU"/>
              </w:rPr>
              <w:t xml:space="preserve"> </w:t>
            </w:r>
            <w:proofErr w:type="spellStart"/>
            <w:r w:rsidRPr="00163D06">
              <w:rPr>
                <w:lang w:val="ru-RU"/>
              </w:rPr>
              <w:t>оборудване</w:t>
            </w:r>
            <w:proofErr w:type="spellEnd"/>
            <w:r w:rsidRPr="00163D06">
              <w:rPr>
                <w:lang w:val="ru-RU"/>
              </w:rPr>
              <w:t xml:space="preserve"> </w:t>
            </w:r>
            <w:proofErr w:type="spellStart"/>
            <w:r w:rsidRPr="00163D06">
              <w:rPr>
                <w:lang w:val="ru-RU"/>
              </w:rPr>
              <w:t>остава</w:t>
            </w:r>
            <w:proofErr w:type="spellEnd"/>
            <w:r w:rsidRPr="00163D06">
              <w:rPr>
                <w:lang w:val="ru-RU"/>
              </w:rPr>
              <w:t xml:space="preserve"> </w:t>
            </w:r>
            <w:proofErr w:type="spellStart"/>
            <w:r w:rsidRPr="00163D06">
              <w:rPr>
                <w:lang w:val="ru-RU"/>
              </w:rPr>
              <w:t>собственост</w:t>
            </w:r>
            <w:proofErr w:type="spellEnd"/>
            <w:r w:rsidRPr="00163D06">
              <w:rPr>
                <w:lang w:val="ru-RU"/>
              </w:rPr>
              <w:t xml:space="preserve"> на </w:t>
            </w:r>
            <w:r w:rsidRPr="00163D06">
              <w:rPr>
                <w:lang w:val="bg-BG"/>
              </w:rPr>
              <w:t>И</w:t>
            </w:r>
            <w:proofErr w:type="spellStart"/>
            <w:r w:rsidRPr="00163D06">
              <w:rPr>
                <w:lang w:val="ru-RU"/>
              </w:rPr>
              <w:t>зпълнителя</w:t>
            </w:r>
            <w:proofErr w:type="spellEnd"/>
            <w:r w:rsidRPr="00163D06">
              <w:rPr>
                <w:lang w:val="ru-RU"/>
              </w:rPr>
              <w:t xml:space="preserve"> и подлежи на </w:t>
            </w:r>
            <w:proofErr w:type="spellStart"/>
            <w:r w:rsidRPr="00163D06">
              <w:rPr>
                <w:lang w:val="ru-RU"/>
              </w:rPr>
              <w:t>връщане</w:t>
            </w:r>
            <w:proofErr w:type="spellEnd"/>
            <w:r w:rsidRPr="00163D06">
              <w:rPr>
                <w:lang w:val="ru-RU"/>
              </w:rPr>
              <w:t xml:space="preserve"> след </w:t>
            </w:r>
            <w:proofErr w:type="spellStart"/>
            <w:r w:rsidRPr="00163D06">
              <w:rPr>
                <w:lang w:val="ru-RU"/>
              </w:rPr>
              <w:t>закриване</w:t>
            </w:r>
            <w:proofErr w:type="spellEnd"/>
            <w:r w:rsidRPr="00163D06">
              <w:rPr>
                <w:lang w:val="ru-RU"/>
              </w:rPr>
              <w:t xml:space="preserve"> на </w:t>
            </w:r>
            <w:proofErr w:type="spellStart"/>
            <w:r w:rsidRPr="00163D06">
              <w:rPr>
                <w:lang w:val="ru-RU"/>
              </w:rPr>
              <w:t>услугата</w:t>
            </w:r>
            <w:proofErr w:type="spellEnd"/>
            <w:r w:rsidRPr="00163D06">
              <w:rPr>
                <w:lang w:val="ru-RU"/>
              </w:rPr>
              <w:t xml:space="preserve"> или </w:t>
            </w:r>
            <w:proofErr w:type="spellStart"/>
            <w:r w:rsidRPr="00163D06">
              <w:rPr>
                <w:lang w:val="ru-RU"/>
              </w:rPr>
              <w:t>прекратяване</w:t>
            </w:r>
            <w:proofErr w:type="spellEnd"/>
            <w:r w:rsidRPr="00163D06">
              <w:rPr>
                <w:lang w:val="ru-RU"/>
              </w:rPr>
              <w:t xml:space="preserve"> на договора.</w:t>
            </w:r>
          </w:p>
        </w:tc>
      </w:tr>
      <w:tr w:rsidR="00B01D68" w:rsidRPr="00556670" w:rsidTr="00597722">
        <w:tc>
          <w:tcPr>
            <w:tcW w:w="675" w:type="dxa"/>
          </w:tcPr>
          <w:p w:rsidR="00B01D68" w:rsidRPr="00556670" w:rsidRDefault="00B01D68" w:rsidP="00B01D68">
            <w:pPr>
              <w:numPr>
                <w:ilvl w:val="0"/>
                <w:numId w:val="4"/>
              </w:numPr>
              <w:jc w:val="both"/>
              <w:rPr>
                <w:spacing w:val="-2"/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Pr="00163D06" w:rsidRDefault="00B01D68" w:rsidP="00597722">
            <w:pPr>
              <w:jc w:val="both"/>
              <w:rPr>
                <w:lang w:val="bg-BG"/>
              </w:rPr>
            </w:pPr>
            <w:r w:rsidRPr="00163D06">
              <w:rPr>
                <w:lang w:val="bg-BG"/>
              </w:rPr>
              <w:t xml:space="preserve">В случай, че се налага </w:t>
            </w:r>
            <w:r>
              <w:rPr>
                <w:lang w:val="bg-BG"/>
              </w:rPr>
              <w:t>Участникът</w:t>
            </w:r>
            <w:r w:rsidRPr="00163D06">
              <w:rPr>
                <w:lang w:val="ru-RU"/>
              </w:rPr>
              <w:t xml:space="preserve"> да </w:t>
            </w:r>
            <w:proofErr w:type="spellStart"/>
            <w:r w:rsidRPr="00163D06">
              <w:rPr>
                <w:lang w:val="ru-RU"/>
              </w:rPr>
              <w:t>осъществи</w:t>
            </w:r>
            <w:proofErr w:type="spellEnd"/>
            <w:r w:rsidRPr="00163D06">
              <w:rPr>
                <w:lang w:val="ru-RU"/>
              </w:rPr>
              <w:t xml:space="preserve"> плавен </w:t>
            </w:r>
            <w:proofErr w:type="spellStart"/>
            <w:r w:rsidRPr="00163D06">
              <w:rPr>
                <w:lang w:val="ru-RU"/>
              </w:rPr>
              <w:t>преход</w:t>
            </w:r>
            <w:proofErr w:type="spellEnd"/>
            <w:r w:rsidRPr="00163D06">
              <w:rPr>
                <w:lang w:val="ru-RU"/>
              </w:rPr>
              <w:t xml:space="preserve"> при </w:t>
            </w:r>
            <w:proofErr w:type="spellStart"/>
            <w:r w:rsidRPr="00163D06">
              <w:rPr>
                <w:lang w:val="ru-RU"/>
              </w:rPr>
              <w:t>прехвърляне</w:t>
            </w:r>
            <w:proofErr w:type="spellEnd"/>
            <w:r w:rsidRPr="00163D06">
              <w:rPr>
                <w:lang w:val="ru-RU"/>
              </w:rPr>
              <w:t xml:space="preserve"> на </w:t>
            </w:r>
            <w:proofErr w:type="spellStart"/>
            <w:r w:rsidRPr="00163D06">
              <w:rPr>
                <w:lang w:val="ru-RU"/>
              </w:rPr>
              <w:t>предоставянето</w:t>
            </w:r>
            <w:proofErr w:type="spellEnd"/>
            <w:r w:rsidRPr="00163D06">
              <w:rPr>
                <w:lang w:val="ru-RU"/>
              </w:rPr>
              <w:t xml:space="preserve"> на </w:t>
            </w:r>
            <w:proofErr w:type="spellStart"/>
            <w:r w:rsidRPr="00163D06">
              <w:rPr>
                <w:lang w:val="ru-RU"/>
              </w:rPr>
              <w:t>комуникационните</w:t>
            </w:r>
            <w:proofErr w:type="spellEnd"/>
            <w:r w:rsidRPr="00163D06">
              <w:rPr>
                <w:lang w:val="ru-RU"/>
              </w:rPr>
              <w:t xml:space="preserve"> услуги от </w:t>
            </w:r>
            <w:proofErr w:type="spellStart"/>
            <w:r w:rsidRPr="00163D06">
              <w:rPr>
                <w:lang w:val="ru-RU"/>
              </w:rPr>
              <w:t>съществуващия</w:t>
            </w:r>
            <w:proofErr w:type="spellEnd"/>
            <w:r w:rsidRPr="00163D06">
              <w:rPr>
                <w:lang w:val="ru-RU"/>
              </w:rPr>
              <w:t xml:space="preserve"> </w:t>
            </w:r>
            <w:proofErr w:type="spellStart"/>
            <w:r w:rsidRPr="00163D06">
              <w:rPr>
                <w:lang w:val="ru-RU"/>
              </w:rPr>
              <w:t>доставчик</w:t>
            </w:r>
            <w:proofErr w:type="spellEnd"/>
            <w:r w:rsidRPr="00163D06">
              <w:rPr>
                <w:lang w:val="ru-RU"/>
              </w:rPr>
              <w:t xml:space="preserve"> </w:t>
            </w:r>
            <w:proofErr w:type="spellStart"/>
            <w:r w:rsidRPr="00163D06">
              <w:rPr>
                <w:lang w:val="ru-RU"/>
              </w:rPr>
              <w:t>към</w:t>
            </w:r>
            <w:proofErr w:type="spellEnd"/>
            <w:r w:rsidRPr="00163D06">
              <w:rPr>
                <w:lang w:val="ru-RU"/>
              </w:rPr>
              <w:t xml:space="preserve"> нова </w:t>
            </w:r>
            <w:proofErr w:type="spellStart"/>
            <w:r w:rsidRPr="00163D06">
              <w:rPr>
                <w:lang w:val="ru-RU"/>
              </w:rPr>
              <w:t>комуникационна</w:t>
            </w:r>
            <w:proofErr w:type="spellEnd"/>
            <w:r w:rsidRPr="00163D06">
              <w:rPr>
                <w:lang w:val="ru-RU"/>
              </w:rPr>
              <w:t xml:space="preserve"> среда, </w:t>
            </w:r>
            <w:r>
              <w:rPr>
                <w:lang w:val="bg-BG"/>
              </w:rPr>
              <w:t>той</w:t>
            </w:r>
            <w:r w:rsidRPr="00163D06">
              <w:rPr>
                <w:lang w:val="bg-BG"/>
              </w:rPr>
              <w:t xml:space="preserve"> </w:t>
            </w:r>
            <w:proofErr w:type="spellStart"/>
            <w:r w:rsidRPr="00163D06">
              <w:rPr>
                <w:lang w:val="ru-RU"/>
              </w:rPr>
              <w:t>извършва</w:t>
            </w:r>
            <w:proofErr w:type="spellEnd"/>
            <w:r w:rsidRPr="00163D06">
              <w:rPr>
                <w:lang w:val="ru-RU"/>
              </w:rPr>
              <w:t xml:space="preserve"> </w:t>
            </w:r>
            <w:proofErr w:type="spellStart"/>
            <w:r w:rsidRPr="00163D06">
              <w:rPr>
                <w:lang w:val="ru-RU"/>
              </w:rPr>
              <w:t>прехода</w:t>
            </w:r>
            <w:proofErr w:type="spellEnd"/>
            <w:r w:rsidRPr="00163D06">
              <w:rPr>
                <w:lang w:val="ru-RU"/>
              </w:rPr>
              <w:t xml:space="preserve"> от </w:t>
            </w:r>
            <w:proofErr w:type="spellStart"/>
            <w:r w:rsidRPr="00163D06">
              <w:rPr>
                <w:lang w:val="ru-RU"/>
              </w:rPr>
              <w:t>предходния</w:t>
            </w:r>
            <w:proofErr w:type="spellEnd"/>
            <w:r w:rsidRPr="00163D06">
              <w:rPr>
                <w:lang w:val="ru-RU"/>
              </w:rPr>
              <w:t xml:space="preserve"> оператор </w:t>
            </w:r>
            <w:proofErr w:type="spellStart"/>
            <w:r w:rsidRPr="00163D06">
              <w:rPr>
                <w:lang w:val="ru-RU"/>
              </w:rPr>
              <w:lastRenderedPageBreak/>
              <w:t>към</w:t>
            </w:r>
            <w:proofErr w:type="spellEnd"/>
            <w:r w:rsidRPr="00163D06">
              <w:rPr>
                <w:lang w:val="ru-RU"/>
              </w:rPr>
              <w:t xml:space="preserve"> </w:t>
            </w:r>
            <w:proofErr w:type="spellStart"/>
            <w:r w:rsidRPr="00163D06">
              <w:rPr>
                <w:lang w:val="ru-RU"/>
              </w:rPr>
              <w:t>неговата</w:t>
            </w:r>
            <w:proofErr w:type="spellEnd"/>
            <w:r w:rsidRPr="00163D06">
              <w:rPr>
                <w:lang w:val="ru-RU"/>
              </w:rPr>
              <w:t xml:space="preserve"> мрежа в </w:t>
            </w:r>
            <w:proofErr w:type="spellStart"/>
            <w:r w:rsidRPr="00163D06">
              <w:rPr>
                <w:lang w:val="ru-RU"/>
              </w:rPr>
              <w:t>рамките</w:t>
            </w:r>
            <w:proofErr w:type="spellEnd"/>
            <w:r w:rsidRPr="00163D06">
              <w:rPr>
                <w:lang w:val="ru-RU"/>
              </w:rPr>
              <w:t xml:space="preserve"> на </w:t>
            </w:r>
            <w:r w:rsidRPr="00163D06">
              <w:rPr>
                <w:lang w:val="bg-BG"/>
              </w:rPr>
              <w:t>3</w:t>
            </w:r>
            <w:r w:rsidRPr="00163D06">
              <w:rPr>
                <w:lang w:val="ru-RU"/>
              </w:rPr>
              <w:t xml:space="preserve">0 </w:t>
            </w:r>
            <w:proofErr w:type="spellStart"/>
            <w:r w:rsidRPr="00163D06">
              <w:rPr>
                <w:lang w:val="ru-RU"/>
              </w:rPr>
              <w:t>календарни</w:t>
            </w:r>
            <w:proofErr w:type="spellEnd"/>
            <w:r w:rsidRPr="00163D06">
              <w:rPr>
                <w:lang w:val="ru-RU"/>
              </w:rPr>
              <w:t xml:space="preserve"> дни след </w:t>
            </w:r>
            <w:proofErr w:type="spellStart"/>
            <w:r w:rsidRPr="00163D06">
              <w:rPr>
                <w:lang w:val="ru-RU"/>
              </w:rPr>
              <w:t>подписване</w:t>
            </w:r>
            <w:proofErr w:type="spellEnd"/>
            <w:r w:rsidRPr="00163D06">
              <w:rPr>
                <w:lang w:val="ru-RU"/>
              </w:rPr>
              <w:t xml:space="preserve"> на договор </w:t>
            </w:r>
            <w:r w:rsidRPr="00163D06">
              <w:rPr>
                <w:lang w:val="bg-BG"/>
              </w:rPr>
              <w:t xml:space="preserve">и осигуряване на достъп до обектите на </w:t>
            </w:r>
            <w:r>
              <w:t>ОБЩИНА РУСЕ</w:t>
            </w:r>
            <w:r w:rsidRPr="00163D06">
              <w:rPr>
                <w:lang w:val="bg-BG"/>
              </w:rPr>
              <w:t>;</w:t>
            </w:r>
          </w:p>
          <w:p w:rsidR="00B01D68" w:rsidRDefault="00B01D68" w:rsidP="00597722">
            <w:pPr>
              <w:jc w:val="both"/>
            </w:pPr>
          </w:p>
        </w:tc>
      </w:tr>
      <w:tr w:rsidR="00B01D68" w:rsidRPr="00556670" w:rsidTr="00597722">
        <w:tc>
          <w:tcPr>
            <w:tcW w:w="675" w:type="dxa"/>
          </w:tcPr>
          <w:p w:rsidR="00B01D68" w:rsidRPr="00556670" w:rsidRDefault="00B01D68" w:rsidP="00597722">
            <w:pPr>
              <w:ind w:left="360"/>
              <w:jc w:val="both"/>
              <w:rPr>
                <w:spacing w:val="-2"/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Pr="002B1B9B" w:rsidRDefault="00B01D68" w:rsidP="00597722">
            <w:pPr>
              <w:jc w:val="center"/>
              <w:rPr>
                <w:b/>
                <w:spacing w:val="-2"/>
                <w:sz w:val="22"/>
                <w:szCs w:val="22"/>
                <w:lang w:val="ru-RU"/>
              </w:rPr>
            </w:pPr>
            <w:proofErr w:type="spellStart"/>
            <w:r w:rsidRPr="002B1B9B">
              <w:rPr>
                <w:b/>
                <w:spacing w:val="-2"/>
                <w:sz w:val="22"/>
                <w:szCs w:val="22"/>
                <w:lang w:val="ru-RU"/>
              </w:rPr>
              <w:t>Параметри</w:t>
            </w:r>
            <w:proofErr w:type="spellEnd"/>
            <w:r w:rsidRPr="002B1B9B">
              <w:rPr>
                <w:b/>
                <w:spacing w:val="-2"/>
                <w:sz w:val="22"/>
                <w:szCs w:val="22"/>
                <w:lang w:val="ru-RU"/>
              </w:rPr>
              <w:t xml:space="preserve"> за качество на </w:t>
            </w:r>
            <w:proofErr w:type="spellStart"/>
            <w:r w:rsidRPr="002B1B9B">
              <w:rPr>
                <w:b/>
                <w:spacing w:val="-2"/>
                <w:sz w:val="22"/>
                <w:szCs w:val="22"/>
                <w:lang w:val="ru-RU"/>
              </w:rPr>
              <w:t>предоставяните</w:t>
            </w:r>
            <w:proofErr w:type="spellEnd"/>
            <w:r w:rsidRPr="002B1B9B">
              <w:rPr>
                <w:b/>
                <w:spacing w:val="-2"/>
                <w:sz w:val="22"/>
                <w:szCs w:val="22"/>
                <w:lang w:val="ru-RU"/>
              </w:rPr>
              <w:t xml:space="preserve"> услуги</w:t>
            </w:r>
          </w:p>
        </w:tc>
      </w:tr>
      <w:tr w:rsidR="00B01D68" w:rsidRPr="00556670" w:rsidTr="00597722">
        <w:tc>
          <w:tcPr>
            <w:tcW w:w="675" w:type="dxa"/>
          </w:tcPr>
          <w:p w:rsidR="00B01D68" w:rsidRPr="00556670" w:rsidRDefault="00B01D68" w:rsidP="00B01D6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Pr="00EB6013" w:rsidRDefault="00B01D68" w:rsidP="0059772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Участникът</w:t>
            </w:r>
            <w:r w:rsidRPr="00EB6013">
              <w:rPr>
                <w:lang w:val="bg-BG"/>
              </w:rPr>
              <w:t xml:space="preserve"> да осъществява наблюдение и да прави статистика на годишна база най-малко на следните параметри на  качеството на фиксираната телефонна услуга и качество на обслужване:</w:t>
            </w:r>
          </w:p>
          <w:p w:rsidR="00B01D68" w:rsidRDefault="00B01D68" w:rsidP="00597722">
            <w:pPr>
              <w:jc w:val="both"/>
              <w:rPr>
                <w:rFonts w:eastAsia="Calibri"/>
                <w:color w:val="000000"/>
                <w:sz w:val="22"/>
                <w:szCs w:val="22"/>
                <w:lang w:val="bg-BG" w:eastAsia="bg-BG"/>
              </w:rPr>
            </w:pPr>
          </w:p>
          <w:p w:rsidR="00B01D68" w:rsidRPr="00BB66E0" w:rsidRDefault="00B01D68" w:rsidP="00B01D6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ru-RU"/>
              </w:rPr>
            </w:pPr>
            <w:r w:rsidRPr="00BB66E0">
              <w:rPr>
                <w:sz w:val="22"/>
                <w:szCs w:val="22"/>
                <w:lang w:val="ru-RU"/>
              </w:rPr>
              <w:t xml:space="preserve">Качество на </w:t>
            </w:r>
            <w:proofErr w:type="spellStart"/>
            <w:r w:rsidRPr="00BB66E0">
              <w:rPr>
                <w:sz w:val="22"/>
                <w:szCs w:val="22"/>
                <w:lang w:val="ru-RU"/>
              </w:rPr>
              <w:t>разговорната</w:t>
            </w:r>
            <w:proofErr w:type="spellEnd"/>
            <w:r w:rsidRPr="00BB66E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B66E0">
              <w:rPr>
                <w:sz w:val="22"/>
                <w:szCs w:val="22"/>
                <w:lang w:val="ru-RU"/>
              </w:rPr>
              <w:t>връзка</w:t>
            </w:r>
            <w:proofErr w:type="spellEnd"/>
            <w:r>
              <w:rPr>
                <w:sz w:val="22"/>
                <w:szCs w:val="22"/>
                <w:lang w:val="ru-RU"/>
              </w:rPr>
              <w:t>;</w:t>
            </w:r>
            <w:r w:rsidRPr="00BB66E0">
              <w:rPr>
                <w:sz w:val="22"/>
                <w:szCs w:val="22"/>
                <w:lang w:val="ru-RU"/>
              </w:rPr>
              <w:t xml:space="preserve"> </w:t>
            </w:r>
            <w:r w:rsidRPr="00BB66E0"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B01D68" w:rsidRPr="00BB66E0" w:rsidRDefault="00B01D68" w:rsidP="00B01D68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B66E0">
              <w:rPr>
                <w:sz w:val="22"/>
                <w:szCs w:val="22"/>
                <w:lang w:val="ru-RU"/>
              </w:rPr>
              <w:t xml:space="preserve">Процент повреди на </w:t>
            </w:r>
            <w:proofErr w:type="spellStart"/>
            <w:r w:rsidRPr="00BB66E0">
              <w:rPr>
                <w:sz w:val="22"/>
                <w:szCs w:val="22"/>
                <w:lang w:val="ru-RU"/>
              </w:rPr>
              <w:t>абонатната</w:t>
            </w:r>
            <w:proofErr w:type="spellEnd"/>
            <w:r w:rsidRPr="00BB66E0">
              <w:rPr>
                <w:sz w:val="22"/>
                <w:szCs w:val="22"/>
                <w:lang w:val="ru-RU"/>
              </w:rPr>
              <w:t xml:space="preserve"> линия</w:t>
            </w:r>
            <w:r>
              <w:rPr>
                <w:sz w:val="22"/>
                <w:szCs w:val="22"/>
                <w:lang w:val="ru-RU"/>
              </w:rPr>
              <w:t>;</w:t>
            </w:r>
            <w:r w:rsidRPr="00BB66E0"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B01D68" w:rsidRPr="0017700D" w:rsidRDefault="00B01D68" w:rsidP="00B01D6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BB66E0">
              <w:rPr>
                <w:sz w:val="22"/>
                <w:szCs w:val="22"/>
                <w:lang w:val="ru-RU"/>
              </w:rPr>
              <w:t>Време</w:t>
            </w:r>
            <w:proofErr w:type="spellEnd"/>
            <w:r w:rsidRPr="00BB66E0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BB66E0">
              <w:rPr>
                <w:sz w:val="22"/>
                <w:szCs w:val="22"/>
                <w:lang w:val="ru-RU"/>
              </w:rPr>
              <w:t>отстраняване</w:t>
            </w:r>
            <w:proofErr w:type="spellEnd"/>
            <w:r w:rsidRPr="00BB66E0">
              <w:rPr>
                <w:sz w:val="22"/>
                <w:szCs w:val="22"/>
                <w:lang w:val="ru-RU"/>
              </w:rPr>
              <w:t xml:space="preserve"> на повреди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B01D68" w:rsidRPr="00BB66E0" w:rsidRDefault="00B01D68" w:rsidP="00B01D6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Процент на </w:t>
            </w:r>
            <w:proofErr w:type="spellStart"/>
            <w:r>
              <w:rPr>
                <w:sz w:val="22"/>
                <w:szCs w:val="22"/>
                <w:lang w:val="ru-RU"/>
              </w:rPr>
              <w:t>жалбите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относно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коректност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ru-RU"/>
              </w:rPr>
              <w:t>сметките</w:t>
            </w:r>
            <w:proofErr w:type="spellEnd"/>
            <w:r>
              <w:rPr>
                <w:sz w:val="22"/>
                <w:szCs w:val="22"/>
                <w:lang w:val="ru-RU"/>
              </w:rPr>
              <w:t>;</w:t>
            </w:r>
          </w:p>
          <w:p w:rsidR="00B01D68" w:rsidRPr="00D306DF" w:rsidRDefault="00B01D68" w:rsidP="00597722">
            <w:pPr>
              <w:jc w:val="both"/>
              <w:rPr>
                <w:sz w:val="22"/>
                <w:szCs w:val="22"/>
                <w:lang w:val="ru-RU"/>
              </w:rPr>
            </w:pPr>
            <w:r w:rsidRPr="00EB6013">
              <w:rPr>
                <w:lang w:val="bg-BG"/>
              </w:rPr>
              <w:t xml:space="preserve">Предоставя се извлечение от Интернет страницата на </w:t>
            </w:r>
            <w:r>
              <w:rPr>
                <w:lang w:val="bg-BG"/>
              </w:rPr>
              <w:t xml:space="preserve">участника </w:t>
            </w:r>
            <w:r w:rsidRPr="00EB6013">
              <w:rPr>
                <w:lang w:val="bg-BG"/>
              </w:rPr>
              <w:t xml:space="preserve"> и линк към нея с Параметрите на качеството на обслуж</w:t>
            </w:r>
            <w:r>
              <w:rPr>
                <w:lang w:val="bg-BG"/>
              </w:rPr>
              <w:t>ване за 201</w:t>
            </w:r>
            <w:r>
              <w:t>3</w:t>
            </w:r>
            <w:r w:rsidRPr="00EB6013">
              <w:rPr>
                <w:lang w:val="bg-BG"/>
              </w:rPr>
              <w:t xml:space="preserve"> г.</w:t>
            </w:r>
            <w:r>
              <w:rPr>
                <w:lang w:val="bg-BG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съгласно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 w:rsidRPr="002B1B9B">
              <w:rPr>
                <w:b/>
                <w:sz w:val="22"/>
                <w:szCs w:val="22"/>
                <w:lang w:val="ru-RU"/>
              </w:rPr>
              <w:t>чл.38</w:t>
            </w:r>
            <w:r>
              <w:rPr>
                <w:b/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7700D">
              <w:rPr>
                <w:b/>
                <w:sz w:val="22"/>
                <w:szCs w:val="22"/>
                <w:lang w:val="ru-RU"/>
              </w:rPr>
              <w:t>Приложение 5</w:t>
            </w:r>
            <w:r>
              <w:rPr>
                <w:sz w:val="22"/>
                <w:szCs w:val="22"/>
                <w:lang w:val="ru-RU"/>
              </w:rPr>
              <w:t xml:space="preserve"> от </w:t>
            </w:r>
            <w:r w:rsidRPr="00360B8E">
              <w:rPr>
                <w:rFonts w:eastAsia="Calibri"/>
                <w:i/>
                <w:sz w:val="22"/>
                <w:szCs w:val="22"/>
                <w:lang w:val="bg-BG" w:eastAsia="bg-BG"/>
              </w:rPr>
              <w:t>„</w:t>
            </w:r>
            <w:r w:rsidRPr="00360B8E">
              <w:rPr>
                <w:rFonts w:eastAsia="Calibri"/>
                <w:bCs/>
                <w:i/>
                <w:color w:val="000000"/>
                <w:sz w:val="22"/>
                <w:szCs w:val="22"/>
                <w:lang w:val="bg-BG" w:eastAsia="bg-BG"/>
              </w:rPr>
              <w:t>Общи  изисквания при осъществяване на обществени електронни съобщения”</w:t>
            </w:r>
            <w:r w:rsidRPr="008C5456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364B93">
              <w:rPr>
                <w:rFonts w:eastAsia="Calibri"/>
                <w:bCs/>
                <w:i/>
                <w:iCs/>
                <w:color w:val="000000"/>
                <w:sz w:val="22"/>
                <w:szCs w:val="22"/>
                <w:lang w:val="bg-BG" w:eastAsia="bg-BG"/>
              </w:rPr>
              <w:t xml:space="preserve">изм. </w:t>
            </w:r>
            <w:r>
              <w:rPr>
                <w:rFonts w:eastAsia="Calibri"/>
                <w:bCs/>
                <w:i/>
                <w:iCs/>
                <w:color w:val="000000"/>
                <w:sz w:val="22"/>
                <w:szCs w:val="22"/>
                <w:lang w:val="bg-BG" w:eastAsia="bg-BG"/>
              </w:rPr>
              <w:t>и</w:t>
            </w:r>
            <w:r w:rsidRPr="00364B93">
              <w:rPr>
                <w:rFonts w:eastAsia="Calibri"/>
                <w:bCs/>
                <w:i/>
                <w:iCs/>
                <w:color w:val="000000"/>
                <w:sz w:val="22"/>
                <w:szCs w:val="22"/>
                <w:lang w:val="bg-BG" w:eastAsia="bg-BG"/>
              </w:rPr>
              <w:t xml:space="preserve"> доп. ДВ. Бр.4 от 14 Януари 2014г.</w:t>
            </w:r>
            <w:r w:rsidRPr="00364B93"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  <w:t>,</w:t>
            </w:r>
          </w:p>
        </w:tc>
      </w:tr>
      <w:tr w:rsidR="00B01D68" w:rsidRPr="00556670" w:rsidTr="00597722">
        <w:tc>
          <w:tcPr>
            <w:tcW w:w="675" w:type="dxa"/>
          </w:tcPr>
          <w:p w:rsidR="00B01D68" w:rsidRPr="00556670" w:rsidRDefault="00B01D68" w:rsidP="00B01D6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Default="00B01D68" w:rsidP="00597722">
            <w:pPr>
              <w:jc w:val="both"/>
              <w:rPr>
                <w:rFonts w:eastAsia="Calibri"/>
                <w:color w:val="000000"/>
                <w:sz w:val="22"/>
                <w:szCs w:val="22"/>
                <w:lang w:val="bg-BG" w:eastAsia="bg-BG"/>
              </w:rPr>
            </w:pPr>
            <w:r w:rsidRPr="005C097A">
              <w:rPr>
                <w:sz w:val="22"/>
                <w:szCs w:val="22"/>
                <w:lang w:val="ru-RU"/>
              </w:rPr>
              <w:t xml:space="preserve">За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случаите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неописани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5C097A">
              <w:rPr>
                <w:color w:val="000000"/>
                <w:sz w:val="22"/>
                <w:szCs w:val="22"/>
                <w:lang w:val="ru-RU"/>
              </w:rPr>
              <w:t>гореизложениете</w:t>
            </w:r>
            <w:proofErr w:type="spellEnd"/>
            <w:r w:rsidRPr="005C097A">
              <w:rPr>
                <w:color w:val="000000"/>
                <w:sz w:val="22"/>
                <w:szCs w:val="22"/>
                <w:lang w:val="ru-RU"/>
              </w:rPr>
              <w:t xml:space="preserve"> технически и </w:t>
            </w:r>
            <w:proofErr w:type="spellStart"/>
            <w:r w:rsidRPr="005C097A">
              <w:rPr>
                <w:color w:val="000000"/>
                <w:sz w:val="22"/>
                <w:szCs w:val="22"/>
                <w:lang w:val="ru-RU"/>
              </w:rPr>
              <w:t>функционални</w:t>
            </w:r>
            <w:proofErr w:type="spellEnd"/>
            <w:r w:rsidRPr="005C097A">
              <w:rPr>
                <w:color w:val="000000"/>
                <w:sz w:val="22"/>
                <w:szCs w:val="22"/>
                <w:lang w:val="ru-RU"/>
              </w:rPr>
              <w:t xml:space="preserve"> характеристики</w:t>
            </w:r>
            <w:r w:rsidRPr="005C097A">
              <w:rPr>
                <w:sz w:val="22"/>
                <w:szCs w:val="22"/>
                <w:lang w:val="ru-RU"/>
              </w:rPr>
              <w:t xml:space="preserve">, договора и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приложенията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към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него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ще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важат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Общите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условия на Участника.</w:t>
            </w:r>
          </w:p>
        </w:tc>
      </w:tr>
      <w:tr w:rsidR="00B01D68" w:rsidRPr="00556670" w:rsidTr="00597722">
        <w:tc>
          <w:tcPr>
            <w:tcW w:w="675" w:type="dxa"/>
          </w:tcPr>
          <w:p w:rsidR="00B01D68" w:rsidRPr="00556670" w:rsidRDefault="00B01D68" w:rsidP="00B01D6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Pr="005C097A" w:rsidRDefault="00B01D68" w:rsidP="0059772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bg-BG"/>
              </w:rPr>
              <w:t>Спецификацията и м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ястото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предоставяне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услугите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, предмет на </w:t>
            </w:r>
            <w:proofErr w:type="spellStart"/>
            <w:r w:rsidRPr="0092768E">
              <w:rPr>
                <w:sz w:val="22"/>
                <w:szCs w:val="22"/>
                <w:lang w:val="ru-RU"/>
              </w:rPr>
              <w:t>настоящата</w:t>
            </w:r>
            <w:proofErr w:type="spellEnd"/>
            <w:r w:rsidRPr="0092768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2768E">
              <w:rPr>
                <w:sz w:val="22"/>
                <w:szCs w:val="22"/>
                <w:lang w:val="ru-RU"/>
              </w:rPr>
              <w:t>обществена</w:t>
            </w:r>
            <w:proofErr w:type="spellEnd"/>
            <w:r w:rsidRPr="0092768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2768E">
              <w:rPr>
                <w:sz w:val="22"/>
                <w:szCs w:val="22"/>
                <w:lang w:val="ru-RU"/>
              </w:rPr>
              <w:t>поръчка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са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посочени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Списък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№1 </w:t>
            </w:r>
            <w:r w:rsidRPr="0092768E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2768E">
              <w:rPr>
                <w:sz w:val="22"/>
                <w:szCs w:val="22"/>
                <w:lang w:val="ru-RU"/>
              </w:rPr>
              <w:t>който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е</w:t>
            </w:r>
            <w:r w:rsidRPr="0092768E">
              <w:rPr>
                <w:sz w:val="22"/>
                <w:szCs w:val="22"/>
                <w:lang w:val="ru-RU"/>
              </w:rPr>
              <w:t xml:space="preserve"> част</w:t>
            </w:r>
            <w:r w:rsidRPr="005C097A">
              <w:rPr>
                <w:sz w:val="22"/>
                <w:szCs w:val="22"/>
                <w:lang w:val="ru-RU"/>
              </w:rPr>
              <w:t xml:space="preserve"> от </w:t>
            </w:r>
            <w:proofErr w:type="spellStart"/>
            <w:r w:rsidRPr="005C097A">
              <w:rPr>
                <w:sz w:val="22"/>
                <w:szCs w:val="22"/>
                <w:lang w:val="ru-RU"/>
              </w:rPr>
              <w:t>техническото</w:t>
            </w:r>
            <w:proofErr w:type="spellEnd"/>
            <w:r w:rsidRPr="005C097A">
              <w:rPr>
                <w:sz w:val="22"/>
                <w:szCs w:val="22"/>
                <w:lang w:val="ru-RU"/>
              </w:rPr>
              <w:t xml:space="preserve"> задание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B01D68" w:rsidRPr="00556670" w:rsidTr="00597722">
        <w:tc>
          <w:tcPr>
            <w:tcW w:w="675" w:type="dxa"/>
          </w:tcPr>
          <w:p w:rsidR="00B01D68" w:rsidRPr="00556670" w:rsidRDefault="00B01D68" w:rsidP="00597722">
            <w:pPr>
              <w:ind w:left="50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Default="00B01D68" w:rsidP="00597722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B01D68" w:rsidRPr="00927B9D" w:rsidTr="00597722">
        <w:tc>
          <w:tcPr>
            <w:tcW w:w="675" w:type="dxa"/>
          </w:tcPr>
          <w:p w:rsidR="00B01D68" w:rsidRPr="00BA05B6" w:rsidRDefault="00B01D68" w:rsidP="00597722">
            <w:pPr>
              <w:ind w:left="720"/>
              <w:jc w:val="both"/>
              <w:rPr>
                <w:b/>
                <w:lang w:val="bg-BG"/>
              </w:rPr>
            </w:pPr>
          </w:p>
        </w:tc>
        <w:tc>
          <w:tcPr>
            <w:tcW w:w="8613" w:type="dxa"/>
          </w:tcPr>
          <w:p w:rsidR="00B01D68" w:rsidRPr="00BA05B6" w:rsidRDefault="00B01D68" w:rsidP="005E672D">
            <w:pPr>
              <w:pStyle w:val="a4"/>
              <w:rPr>
                <w:b/>
              </w:rPr>
            </w:pPr>
            <w:r w:rsidRPr="00BA05B6">
              <w:rPr>
                <w:b/>
              </w:rPr>
              <w:t>Други изисквания</w:t>
            </w:r>
            <w:r w:rsidR="005E672D">
              <w:rPr>
                <w:b/>
              </w:rPr>
              <w:t xml:space="preserve"> –</w:t>
            </w:r>
          </w:p>
        </w:tc>
      </w:tr>
      <w:tr w:rsidR="00B01D68" w:rsidRPr="005C097A" w:rsidTr="00597722">
        <w:tc>
          <w:tcPr>
            <w:tcW w:w="675" w:type="dxa"/>
          </w:tcPr>
          <w:p w:rsidR="00B01D68" w:rsidRPr="00556670" w:rsidRDefault="00B01D68" w:rsidP="00B01D6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Pr="005C097A" w:rsidRDefault="00B01D68" w:rsidP="00597722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556670">
              <w:rPr>
                <w:sz w:val="22"/>
                <w:szCs w:val="22"/>
                <w:lang w:val="ru-RU"/>
              </w:rPr>
              <w:t>Участникът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предоставяне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услугата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да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бъде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действащ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телекомуникационния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пазар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обществен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телекомуникационен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оператор,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притежаващ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„Разрешение за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ползване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индивидуално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определен ограничен ресурс-номера за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осъществяване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обществени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електронни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съобщение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чрез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обществена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електронна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съобщителна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мрежа и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предоставяне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фиксирана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телефонна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услуга”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издадено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от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Комисия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регулиране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съобщенията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102524">
              <w:rPr>
                <w:b/>
                <w:sz w:val="22"/>
                <w:szCs w:val="22"/>
              </w:rPr>
              <w:t>Копие</w:t>
            </w:r>
            <w:proofErr w:type="spellEnd"/>
            <w:r w:rsidRPr="001025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02524">
              <w:rPr>
                <w:b/>
                <w:sz w:val="22"/>
                <w:szCs w:val="22"/>
              </w:rPr>
              <w:t>от</w:t>
            </w:r>
            <w:proofErr w:type="spellEnd"/>
            <w:r w:rsidRPr="001025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02524">
              <w:rPr>
                <w:b/>
                <w:sz w:val="22"/>
                <w:szCs w:val="22"/>
              </w:rPr>
              <w:t>разрешението</w:t>
            </w:r>
            <w:proofErr w:type="spellEnd"/>
            <w:r w:rsidRPr="001025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02524">
              <w:rPr>
                <w:b/>
                <w:sz w:val="22"/>
                <w:szCs w:val="22"/>
              </w:rPr>
              <w:t>да</w:t>
            </w:r>
            <w:proofErr w:type="spellEnd"/>
            <w:r w:rsidRPr="001025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02524">
              <w:rPr>
                <w:b/>
                <w:sz w:val="22"/>
                <w:szCs w:val="22"/>
              </w:rPr>
              <w:t>бъде</w:t>
            </w:r>
            <w:proofErr w:type="spellEnd"/>
            <w:r w:rsidRPr="001025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02524">
              <w:rPr>
                <w:b/>
                <w:sz w:val="22"/>
                <w:szCs w:val="22"/>
              </w:rPr>
              <w:t>приложено</w:t>
            </w:r>
            <w:proofErr w:type="spellEnd"/>
            <w:r w:rsidRPr="00102524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102524">
              <w:rPr>
                <w:b/>
                <w:sz w:val="22"/>
                <w:szCs w:val="22"/>
              </w:rPr>
              <w:t>офертата</w:t>
            </w:r>
            <w:proofErr w:type="spellEnd"/>
            <w:r w:rsidRPr="005C097A">
              <w:rPr>
                <w:sz w:val="22"/>
                <w:szCs w:val="22"/>
              </w:rPr>
              <w:t>.</w:t>
            </w:r>
          </w:p>
        </w:tc>
      </w:tr>
      <w:tr w:rsidR="00B01D68" w:rsidRPr="00556670" w:rsidTr="00597722">
        <w:tc>
          <w:tcPr>
            <w:tcW w:w="675" w:type="dxa"/>
          </w:tcPr>
          <w:p w:rsidR="00B01D68" w:rsidRPr="00556670" w:rsidRDefault="00B01D68" w:rsidP="00B01D6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Pr="00556670" w:rsidRDefault="00B01D68" w:rsidP="00597722">
            <w:pPr>
              <w:jc w:val="both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556670">
              <w:rPr>
                <w:sz w:val="22"/>
                <w:szCs w:val="22"/>
                <w:lang w:val="ru-RU"/>
              </w:rPr>
              <w:t>Участникът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да приложи в </w:t>
            </w:r>
            <w:proofErr w:type="spellStart"/>
            <w:r w:rsidRPr="00556670">
              <w:rPr>
                <w:sz w:val="22"/>
                <w:szCs w:val="22"/>
                <w:lang w:val="ru-RU"/>
              </w:rPr>
              <w:t>офертата</w:t>
            </w:r>
            <w:proofErr w:type="spellEnd"/>
            <w:r w:rsidRPr="00556670">
              <w:rPr>
                <w:sz w:val="22"/>
                <w:szCs w:val="22"/>
                <w:lang w:val="ru-RU"/>
              </w:rPr>
              <w:t xml:space="preserve"> си </w:t>
            </w:r>
            <w:r w:rsidRPr="00102524">
              <w:rPr>
                <w:b/>
                <w:sz w:val="22"/>
                <w:szCs w:val="22"/>
                <w:lang w:val="ru-RU"/>
              </w:rPr>
              <w:t>Общи условия</w:t>
            </w:r>
            <w:r w:rsidRPr="00102524">
              <w:rPr>
                <w:b/>
                <w:bCs/>
                <w:sz w:val="22"/>
                <w:szCs w:val="22"/>
                <w:lang w:val="ru-RU"/>
              </w:rPr>
              <w:t xml:space="preserve"> за взаимоотношения между Оператора и </w:t>
            </w:r>
            <w:proofErr w:type="spellStart"/>
            <w:r w:rsidRPr="00102524">
              <w:rPr>
                <w:b/>
                <w:bCs/>
                <w:sz w:val="22"/>
                <w:szCs w:val="22"/>
                <w:lang w:val="ru-RU"/>
              </w:rPr>
              <w:t>крайните</w:t>
            </w:r>
            <w:proofErr w:type="spellEnd"/>
            <w:r w:rsidRPr="00102524">
              <w:rPr>
                <w:b/>
                <w:bCs/>
                <w:sz w:val="22"/>
                <w:szCs w:val="22"/>
                <w:lang w:val="ru-RU"/>
              </w:rPr>
              <w:t xml:space="preserve"> потребители на </w:t>
            </w:r>
            <w:proofErr w:type="spellStart"/>
            <w:r w:rsidRPr="00102524">
              <w:rPr>
                <w:b/>
                <w:bCs/>
                <w:sz w:val="22"/>
                <w:szCs w:val="22"/>
                <w:lang w:val="ru-RU"/>
              </w:rPr>
              <w:t>фиксиран</w:t>
            </w:r>
            <w:proofErr w:type="spellEnd"/>
            <w:r w:rsidRPr="00102524">
              <w:rPr>
                <w:b/>
                <w:bCs/>
                <w:sz w:val="22"/>
                <w:szCs w:val="22"/>
                <w:lang w:val="bg-BG"/>
              </w:rPr>
              <w:t xml:space="preserve">и </w:t>
            </w:r>
            <w:proofErr w:type="spellStart"/>
            <w:r w:rsidRPr="00102524">
              <w:rPr>
                <w:b/>
                <w:bCs/>
                <w:sz w:val="22"/>
                <w:szCs w:val="22"/>
                <w:lang w:val="ru-RU"/>
              </w:rPr>
              <w:t>телефонн</w:t>
            </w:r>
            <w:proofErr w:type="spellEnd"/>
            <w:r w:rsidRPr="00102524">
              <w:rPr>
                <w:b/>
                <w:bCs/>
                <w:sz w:val="22"/>
                <w:szCs w:val="22"/>
                <w:lang w:val="bg-BG"/>
              </w:rPr>
              <w:t>и</w:t>
            </w:r>
            <w:r w:rsidRPr="00102524">
              <w:rPr>
                <w:b/>
                <w:bCs/>
                <w:sz w:val="22"/>
                <w:szCs w:val="22"/>
                <w:lang w:val="ru-RU"/>
              </w:rPr>
              <w:t xml:space="preserve"> услуг</w:t>
            </w:r>
            <w:r w:rsidRPr="00102524">
              <w:rPr>
                <w:b/>
                <w:bCs/>
                <w:sz w:val="22"/>
                <w:szCs w:val="22"/>
                <w:lang w:val="bg-BG"/>
              </w:rPr>
              <w:t>и</w:t>
            </w:r>
            <w:r w:rsidRPr="00102524">
              <w:rPr>
                <w:b/>
                <w:bCs/>
                <w:sz w:val="22"/>
                <w:szCs w:val="22"/>
                <w:lang w:val="ru-RU"/>
              </w:rPr>
              <w:t>.</w:t>
            </w:r>
          </w:p>
        </w:tc>
      </w:tr>
      <w:tr w:rsidR="00B01D68" w:rsidRPr="00556670" w:rsidTr="00597722">
        <w:tc>
          <w:tcPr>
            <w:tcW w:w="675" w:type="dxa"/>
          </w:tcPr>
          <w:p w:rsidR="00B01D68" w:rsidRPr="00556670" w:rsidRDefault="00B01D68" w:rsidP="00B01D6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Pr="00EB6013" w:rsidRDefault="00B01D68" w:rsidP="00597722">
            <w:pPr>
              <w:jc w:val="both"/>
            </w:pPr>
            <w:r>
              <w:rPr>
                <w:lang w:val="bg-BG"/>
              </w:rPr>
              <w:t xml:space="preserve">Участникът </w:t>
            </w:r>
            <w:r w:rsidRPr="00EB6013">
              <w:rPr>
                <w:bCs/>
                <w:lang w:val="bg-BG" w:eastAsia="bg-BG"/>
              </w:rPr>
              <w:t xml:space="preserve"> да декларира, че ще осигури възможност за запазване на географските номера, ползвани от Възложителя при промяна на доставчика на фиксираната телефонна услуга и/или при промяна на адреса си в рамките на един географски национален код за направление.</w:t>
            </w:r>
          </w:p>
          <w:p w:rsidR="00B01D68" w:rsidRPr="00556670" w:rsidRDefault="00B01D68" w:rsidP="00597722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B01D68" w:rsidRPr="00556670" w:rsidTr="00597722">
        <w:tc>
          <w:tcPr>
            <w:tcW w:w="675" w:type="dxa"/>
          </w:tcPr>
          <w:p w:rsidR="00B01D68" w:rsidRPr="00556670" w:rsidRDefault="00B01D68" w:rsidP="00B01D6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Default="00B01D68" w:rsidP="00597722">
            <w:pPr>
              <w:tabs>
                <w:tab w:val="left" w:pos="720"/>
              </w:tabs>
              <w:autoSpaceDE w:val="0"/>
              <w:jc w:val="both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 xml:space="preserve">Участникът да представи  </w:t>
            </w:r>
            <w:r w:rsidRPr="000916F3">
              <w:rPr>
                <w:color w:val="000000"/>
                <w:sz w:val="22"/>
                <w:szCs w:val="22"/>
                <w:lang w:val="bg-BG"/>
              </w:rPr>
              <w:t>Декларация за поемане задължение</w:t>
            </w:r>
            <w:r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r w:rsidRPr="000916F3">
              <w:rPr>
                <w:color w:val="000000"/>
                <w:sz w:val="22"/>
                <w:szCs w:val="22"/>
                <w:lang w:val="bg-BG"/>
              </w:rPr>
              <w:t xml:space="preserve">да не се разкриват и разпространяват съобщенията и свързаните с тях </w:t>
            </w:r>
            <w:proofErr w:type="spellStart"/>
            <w:r w:rsidRPr="000916F3">
              <w:rPr>
                <w:color w:val="000000"/>
                <w:sz w:val="22"/>
                <w:szCs w:val="22"/>
                <w:lang w:val="bg-BG"/>
              </w:rPr>
              <w:t>трафични</w:t>
            </w:r>
            <w:proofErr w:type="spellEnd"/>
            <w:r w:rsidRPr="000916F3">
              <w:rPr>
                <w:color w:val="000000"/>
                <w:sz w:val="22"/>
                <w:szCs w:val="22"/>
                <w:lang w:val="bg-BG"/>
              </w:rPr>
              <w:t xml:space="preserve"> данни, </w:t>
            </w:r>
            <w:proofErr w:type="spellStart"/>
            <w:r w:rsidRPr="000916F3">
              <w:rPr>
                <w:color w:val="000000"/>
                <w:sz w:val="22"/>
                <w:szCs w:val="22"/>
                <w:lang w:val="bg-BG"/>
              </w:rPr>
              <w:t>данни</w:t>
            </w:r>
            <w:proofErr w:type="spellEnd"/>
            <w:r w:rsidRPr="000916F3">
              <w:rPr>
                <w:color w:val="000000"/>
                <w:sz w:val="22"/>
                <w:szCs w:val="22"/>
                <w:lang w:val="bg-BG"/>
              </w:rPr>
              <w:t xml:space="preserve"> за местоположението, както и данните, необходими за идентифициране на потребителя, които са станали известни при предоставяне на електронните съобщителни мрежи и/или услуги, както и за уведомяване при опасност от нарушаване сигурността на електронните съобщителни мрежи</w:t>
            </w:r>
            <w:r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r w:rsidRPr="000916F3">
              <w:rPr>
                <w:color w:val="000000"/>
                <w:sz w:val="22"/>
                <w:szCs w:val="22"/>
                <w:lang w:val="bg-BG"/>
              </w:rPr>
              <w:t>- за опасността, за необходимите средства за отстраняването и, както и за разходите, които са свързани с това</w:t>
            </w:r>
            <w:r>
              <w:rPr>
                <w:color w:val="000000"/>
                <w:sz w:val="22"/>
                <w:szCs w:val="22"/>
                <w:lang w:val="bg-BG"/>
              </w:rPr>
              <w:t>.</w:t>
            </w:r>
          </w:p>
          <w:p w:rsidR="00B01D68" w:rsidRPr="00556670" w:rsidRDefault="00B01D68" w:rsidP="00597722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B01D68" w:rsidRPr="00556670" w:rsidTr="00597722">
        <w:tc>
          <w:tcPr>
            <w:tcW w:w="675" w:type="dxa"/>
          </w:tcPr>
          <w:p w:rsidR="00B01D68" w:rsidRPr="00556670" w:rsidRDefault="00B01D68" w:rsidP="00B01D6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Pr="000916F3" w:rsidRDefault="00B01D68" w:rsidP="00597722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bg-BG"/>
              </w:rPr>
              <w:t xml:space="preserve">Да бъдат </w:t>
            </w:r>
            <w:proofErr w:type="spellStart"/>
            <w:r w:rsidRPr="000916F3">
              <w:rPr>
                <w:sz w:val="22"/>
                <w:szCs w:val="22"/>
              </w:rPr>
              <w:t>приложени</w:t>
            </w:r>
            <w:proofErr w:type="spellEnd"/>
            <w:r w:rsidRPr="000916F3">
              <w:rPr>
                <w:sz w:val="22"/>
                <w:szCs w:val="22"/>
              </w:rPr>
              <w:t xml:space="preserve">    </w:t>
            </w:r>
            <w:r w:rsidRPr="002576F4">
              <w:rPr>
                <w:rFonts w:eastAsia="Calibri"/>
                <w:sz w:val="22"/>
                <w:szCs w:val="22"/>
                <w:lang w:val="ru-RU"/>
              </w:rPr>
              <w:t>копия,</w:t>
            </w:r>
            <w:r w:rsidRPr="000916F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916F3">
              <w:rPr>
                <w:rFonts w:eastAsia="Calibri"/>
                <w:sz w:val="22"/>
                <w:szCs w:val="22"/>
                <w:lang w:val="ru-RU"/>
              </w:rPr>
              <w:t>заверени</w:t>
            </w:r>
            <w:proofErr w:type="spellEnd"/>
            <w:r w:rsidRPr="000916F3">
              <w:rPr>
                <w:rFonts w:eastAsia="Calibri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916F3">
              <w:rPr>
                <w:rFonts w:eastAsia="Calibri"/>
                <w:sz w:val="22"/>
                <w:szCs w:val="22"/>
                <w:lang w:val="ru-RU"/>
              </w:rPr>
              <w:t>вярност</w:t>
            </w:r>
            <w:proofErr w:type="spellEnd"/>
            <w:r w:rsidRPr="000916F3">
              <w:rPr>
                <w:rFonts w:eastAsia="Calibri"/>
                <w:sz w:val="22"/>
                <w:szCs w:val="22"/>
                <w:lang w:val="ru-RU"/>
              </w:rPr>
              <w:t xml:space="preserve"> с оригинала на </w:t>
            </w:r>
            <w:proofErr w:type="spellStart"/>
            <w:r w:rsidRPr="000916F3">
              <w:rPr>
                <w:rFonts w:eastAsia="Calibri"/>
                <w:sz w:val="22"/>
                <w:szCs w:val="22"/>
                <w:lang w:val="ru-RU"/>
              </w:rPr>
              <w:t>следните</w:t>
            </w:r>
            <w:proofErr w:type="spellEnd"/>
            <w:r w:rsidRPr="000916F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916F3">
              <w:rPr>
                <w:rFonts w:eastAsia="Calibri"/>
                <w:sz w:val="22"/>
                <w:szCs w:val="22"/>
                <w:lang w:val="ru-RU"/>
              </w:rPr>
              <w:t>документи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притежавани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 xml:space="preserve"> от Участника</w:t>
            </w:r>
            <w:r w:rsidRPr="000916F3">
              <w:rPr>
                <w:rFonts w:eastAsia="Calibri"/>
                <w:sz w:val="22"/>
                <w:szCs w:val="22"/>
                <w:lang w:val="ru-RU"/>
              </w:rPr>
              <w:t>:</w:t>
            </w:r>
          </w:p>
          <w:p w:rsidR="00B01D68" w:rsidRPr="002576F4" w:rsidRDefault="00B01D68" w:rsidP="00597722">
            <w:pPr>
              <w:jc w:val="both"/>
              <w:rPr>
                <w:sz w:val="22"/>
                <w:szCs w:val="22"/>
              </w:rPr>
            </w:pPr>
            <w:r w:rsidRPr="002576F4">
              <w:rPr>
                <w:rFonts w:eastAsia="Calibri"/>
                <w:sz w:val="22"/>
                <w:szCs w:val="22"/>
                <w:lang w:val="ru-RU"/>
              </w:rPr>
              <w:t xml:space="preserve">Сертификат, за внедрена от участника система 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за управление на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качеството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2576F4">
              <w:rPr>
                <w:rFonts w:eastAsia="Calibri"/>
                <w:sz w:val="22"/>
                <w:szCs w:val="22"/>
              </w:rPr>
              <w:t>ISO</w:t>
            </w:r>
            <w:r w:rsidRPr="002576F4">
              <w:rPr>
                <w:rFonts w:eastAsia="Calibri"/>
                <w:sz w:val="22"/>
                <w:szCs w:val="22"/>
                <w:lang w:val="ru-RU"/>
              </w:rPr>
              <w:t xml:space="preserve"> 9001:2008 или </w:t>
            </w:r>
            <w:proofErr w:type="spellStart"/>
            <w:r w:rsidRPr="002576F4">
              <w:rPr>
                <w:rFonts w:eastAsia="Calibri"/>
                <w:sz w:val="22"/>
                <w:szCs w:val="22"/>
                <w:lang w:val="ru-RU"/>
              </w:rPr>
              <w:t>еквивалент</w:t>
            </w:r>
            <w:proofErr w:type="spellEnd"/>
            <w:r w:rsidRPr="002576F4"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B01D68" w:rsidRPr="002576F4" w:rsidRDefault="00B01D68" w:rsidP="00597722">
            <w:pPr>
              <w:jc w:val="both"/>
              <w:rPr>
                <w:sz w:val="22"/>
                <w:szCs w:val="22"/>
              </w:rPr>
            </w:pPr>
            <w:r w:rsidRPr="002576F4">
              <w:rPr>
                <w:rFonts w:eastAsia="Calibri"/>
                <w:sz w:val="22"/>
                <w:szCs w:val="22"/>
                <w:lang w:val="ru-RU"/>
              </w:rPr>
              <w:t>Сертификат, за внедрена от участника система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за управление на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електронните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 xml:space="preserve"> услуги</w:t>
            </w:r>
            <w:r w:rsidRPr="002576F4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2576F4">
              <w:rPr>
                <w:rFonts w:eastAsia="Calibri"/>
                <w:sz w:val="22"/>
                <w:szCs w:val="22"/>
              </w:rPr>
              <w:t>ISO</w:t>
            </w:r>
            <w:r w:rsidRPr="002576F4">
              <w:rPr>
                <w:rFonts w:eastAsia="Calibri"/>
                <w:sz w:val="22"/>
                <w:szCs w:val="22"/>
                <w:lang w:val="ru-RU"/>
              </w:rPr>
              <w:t xml:space="preserve"> 20000</w:t>
            </w:r>
            <w:r w:rsidRPr="002576F4">
              <w:rPr>
                <w:rFonts w:eastAsia="Calibri"/>
                <w:sz w:val="22"/>
                <w:szCs w:val="22"/>
              </w:rPr>
              <w:t>-1 :2011</w:t>
            </w:r>
            <w:r w:rsidRPr="002576F4">
              <w:rPr>
                <w:rFonts w:eastAsia="Calibri"/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2576F4">
              <w:rPr>
                <w:rFonts w:eastAsia="Calibri"/>
                <w:sz w:val="22"/>
                <w:szCs w:val="22"/>
                <w:lang w:val="ru-RU"/>
              </w:rPr>
              <w:t>еквивалент</w:t>
            </w:r>
            <w:proofErr w:type="spellEnd"/>
            <w:r w:rsidRPr="002576F4"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B01D68" w:rsidRDefault="00B01D68" w:rsidP="00597722">
            <w:pPr>
              <w:tabs>
                <w:tab w:val="left" w:pos="720"/>
              </w:tabs>
              <w:suppressAutoHyphens/>
              <w:autoSpaceDE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2576F4">
              <w:rPr>
                <w:rFonts w:eastAsia="Calibri"/>
                <w:sz w:val="22"/>
                <w:szCs w:val="22"/>
                <w:lang w:val="ru-RU"/>
              </w:rPr>
              <w:t xml:space="preserve">Сертификат, за внедрена от участника система 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за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информационна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сигурност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2576F4">
              <w:rPr>
                <w:rFonts w:eastAsia="Calibri"/>
                <w:sz w:val="22"/>
                <w:szCs w:val="22"/>
              </w:rPr>
              <w:t>ISO</w:t>
            </w:r>
            <w:r w:rsidRPr="002576F4">
              <w:rPr>
                <w:rFonts w:eastAsia="Calibri"/>
                <w:sz w:val="22"/>
                <w:szCs w:val="22"/>
                <w:lang w:val="ru-RU"/>
              </w:rPr>
              <w:t xml:space="preserve"> 27001-2005 или </w:t>
            </w:r>
            <w:proofErr w:type="spellStart"/>
            <w:r w:rsidRPr="002576F4">
              <w:rPr>
                <w:rFonts w:eastAsia="Calibri"/>
                <w:sz w:val="22"/>
                <w:szCs w:val="22"/>
                <w:lang w:val="ru-RU"/>
              </w:rPr>
              <w:t>еквивалент</w:t>
            </w:r>
            <w:proofErr w:type="spellEnd"/>
            <w:r w:rsidRPr="002576F4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  <w:p w:rsidR="00B01D68" w:rsidRPr="009B7A2E" w:rsidRDefault="00B01D68" w:rsidP="00597722">
            <w:pPr>
              <w:shd w:val="clear" w:color="auto" w:fill="FFFFFF"/>
              <w:tabs>
                <w:tab w:val="left" w:pos="567"/>
                <w:tab w:val="left" w:pos="1320"/>
              </w:tabs>
              <w:autoSpaceDE w:val="0"/>
              <w:autoSpaceDN w:val="0"/>
              <w:adjustRightInd w:val="0"/>
              <w:spacing w:before="120"/>
              <w:ind w:right="140"/>
              <w:jc w:val="both"/>
              <w:rPr>
                <w:i/>
              </w:rPr>
            </w:pPr>
            <w:proofErr w:type="spellStart"/>
            <w:r w:rsidRPr="009B7A2E">
              <w:rPr>
                <w:b/>
                <w:i/>
              </w:rPr>
              <w:t>Мотиви</w:t>
            </w:r>
            <w:proofErr w:type="spellEnd"/>
            <w:r w:rsidRPr="009B7A2E">
              <w:rPr>
                <w:b/>
                <w:i/>
              </w:rPr>
              <w:t xml:space="preserve"> </w:t>
            </w:r>
            <w:proofErr w:type="spellStart"/>
            <w:r w:rsidRPr="009B7A2E">
              <w:rPr>
                <w:b/>
                <w:i/>
              </w:rPr>
              <w:t>за</w:t>
            </w:r>
            <w:proofErr w:type="spellEnd"/>
            <w:r w:rsidRPr="009B7A2E">
              <w:rPr>
                <w:b/>
                <w:i/>
              </w:rPr>
              <w:t xml:space="preserve"> </w:t>
            </w:r>
            <w:proofErr w:type="spellStart"/>
            <w:r w:rsidRPr="009B7A2E">
              <w:rPr>
                <w:b/>
                <w:i/>
              </w:rPr>
              <w:t>поставяне</w:t>
            </w:r>
            <w:proofErr w:type="spellEnd"/>
            <w:r w:rsidRPr="009B7A2E">
              <w:rPr>
                <w:b/>
                <w:i/>
              </w:rPr>
              <w:t xml:space="preserve"> </w:t>
            </w:r>
            <w:proofErr w:type="spellStart"/>
            <w:r w:rsidRPr="009B7A2E">
              <w:rPr>
                <w:b/>
                <w:i/>
              </w:rPr>
              <w:t>на</w:t>
            </w:r>
            <w:proofErr w:type="spellEnd"/>
            <w:r w:rsidRPr="009B7A2E">
              <w:rPr>
                <w:b/>
                <w:i/>
              </w:rPr>
              <w:t xml:space="preserve"> </w:t>
            </w:r>
            <w:proofErr w:type="spellStart"/>
            <w:r w:rsidRPr="009B7A2E">
              <w:rPr>
                <w:b/>
                <w:i/>
              </w:rPr>
              <w:t>изискванията</w:t>
            </w:r>
            <w:proofErr w:type="spellEnd"/>
            <w:r w:rsidRPr="009B7A2E">
              <w:rPr>
                <w:b/>
                <w:i/>
              </w:rPr>
              <w:t>:</w:t>
            </w:r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Притежанието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на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сертификат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по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lastRenderedPageBreak/>
              <w:t>стандарт</w:t>
            </w:r>
            <w:proofErr w:type="spellEnd"/>
            <w:r w:rsidRPr="009B7A2E">
              <w:rPr>
                <w:i/>
              </w:rPr>
              <w:t xml:space="preserve"> ISO 9001:2008 </w:t>
            </w:r>
            <w:proofErr w:type="spellStart"/>
            <w:r w:rsidRPr="009B7A2E">
              <w:rPr>
                <w:i/>
              </w:rPr>
              <w:t>гарантира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съответствието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на</w:t>
            </w:r>
            <w:proofErr w:type="spellEnd"/>
            <w:r w:rsidRPr="009B7A2E">
              <w:rPr>
                <w:i/>
              </w:rPr>
              <w:t xml:space="preserve"> </w:t>
            </w:r>
            <w:r w:rsidRPr="009B7A2E">
              <w:rPr>
                <w:i/>
                <w:lang w:val="bg-BG"/>
              </w:rPr>
              <w:t xml:space="preserve">предоставяните услуги </w:t>
            </w:r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със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съответните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спецификации</w:t>
            </w:r>
            <w:proofErr w:type="spellEnd"/>
            <w:r w:rsidRPr="009B7A2E">
              <w:rPr>
                <w:i/>
              </w:rPr>
              <w:t xml:space="preserve"> и/</w:t>
            </w:r>
            <w:proofErr w:type="spellStart"/>
            <w:r w:rsidRPr="009B7A2E">
              <w:rPr>
                <w:i/>
              </w:rPr>
              <w:t>или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стандарти</w:t>
            </w:r>
            <w:proofErr w:type="spellEnd"/>
            <w:r w:rsidRPr="009B7A2E">
              <w:rPr>
                <w:i/>
              </w:rPr>
              <w:t xml:space="preserve">, </w:t>
            </w:r>
            <w:proofErr w:type="spellStart"/>
            <w:r w:rsidRPr="009B7A2E">
              <w:rPr>
                <w:i/>
              </w:rPr>
              <w:t>както</w:t>
            </w:r>
            <w:proofErr w:type="spellEnd"/>
            <w:r w:rsidRPr="009B7A2E">
              <w:rPr>
                <w:i/>
              </w:rPr>
              <w:t xml:space="preserve"> и </w:t>
            </w:r>
            <w:proofErr w:type="spellStart"/>
            <w:r w:rsidRPr="009B7A2E">
              <w:rPr>
                <w:i/>
              </w:rPr>
              <w:t>въведени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от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участника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мерки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за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осигуряване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на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качеството</w:t>
            </w:r>
            <w:proofErr w:type="spellEnd"/>
            <w:r w:rsidRPr="009B7A2E">
              <w:rPr>
                <w:i/>
              </w:rPr>
              <w:t xml:space="preserve">. </w:t>
            </w:r>
            <w:proofErr w:type="spellStart"/>
            <w:r w:rsidRPr="009B7A2E">
              <w:rPr>
                <w:i/>
              </w:rPr>
              <w:t>Стандартът</w:t>
            </w:r>
            <w:proofErr w:type="spellEnd"/>
            <w:r w:rsidRPr="009B7A2E">
              <w:rPr>
                <w:i/>
              </w:rPr>
              <w:t xml:space="preserve"> ISO 9001:2008 </w:t>
            </w:r>
            <w:proofErr w:type="spellStart"/>
            <w:r w:rsidRPr="009B7A2E">
              <w:rPr>
                <w:i/>
              </w:rPr>
              <w:t>определя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изискванията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за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системи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за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управление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на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качест</w:t>
            </w:r>
            <w:r>
              <w:rPr>
                <w:i/>
              </w:rPr>
              <w:t>вото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когато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даден</w:t>
            </w:r>
            <w:proofErr w:type="spellEnd"/>
            <w:r>
              <w:rPr>
                <w:i/>
                <w:lang w:val="bg-BG"/>
              </w:rPr>
              <w:t>о</w:t>
            </w:r>
            <w:r w:rsidRPr="009B7A2E">
              <w:rPr>
                <w:i/>
              </w:rPr>
              <w:t xml:space="preserve"> </w:t>
            </w:r>
            <w:r>
              <w:rPr>
                <w:i/>
                <w:lang w:val="bg-BG"/>
              </w:rPr>
              <w:t>предприятие</w:t>
            </w:r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трябва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да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докаже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своята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способност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постоянно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да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доставя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продукти</w:t>
            </w:r>
            <w:proofErr w:type="spellEnd"/>
            <w:r w:rsidRPr="009B7A2E">
              <w:rPr>
                <w:i/>
              </w:rPr>
              <w:t xml:space="preserve">, </w:t>
            </w:r>
            <w:proofErr w:type="spellStart"/>
            <w:r w:rsidRPr="009B7A2E">
              <w:rPr>
                <w:i/>
              </w:rPr>
              <w:t>които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удовлетворяват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изискванията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на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клиентите</w:t>
            </w:r>
            <w:proofErr w:type="spellEnd"/>
            <w:r w:rsidRPr="009B7A2E">
              <w:rPr>
                <w:i/>
              </w:rPr>
              <w:t xml:space="preserve"> и </w:t>
            </w:r>
            <w:proofErr w:type="spellStart"/>
            <w:r w:rsidRPr="009B7A2E">
              <w:rPr>
                <w:i/>
              </w:rPr>
              <w:t>на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приложимите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нормативни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актове</w:t>
            </w:r>
            <w:proofErr w:type="spellEnd"/>
            <w:r w:rsidRPr="009B7A2E">
              <w:rPr>
                <w:i/>
              </w:rPr>
              <w:t xml:space="preserve"> и  </w:t>
            </w:r>
            <w:proofErr w:type="spellStart"/>
            <w:r w:rsidRPr="009B7A2E">
              <w:rPr>
                <w:i/>
              </w:rPr>
              <w:t>има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за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цел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да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повишава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удовлетвореността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на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клиентите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чрез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ефикасно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прилагане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на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системата</w:t>
            </w:r>
            <w:proofErr w:type="spellEnd"/>
            <w:r w:rsidRPr="009B7A2E">
              <w:rPr>
                <w:i/>
              </w:rPr>
              <w:t xml:space="preserve">, </w:t>
            </w:r>
            <w:proofErr w:type="spellStart"/>
            <w:r w:rsidRPr="009B7A2E">
              <w:rPr>
                <w:i/>
              </w:rPr>
              <w:t>включително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процесите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за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непрекъснатото</w:t>
            </w:r>
            <w:proofErr w:type="spellEnd"/>
            <w:r w:rsidRPr="009B7A2E">
              <w:rPr>
                <w:i/>
              </w:rPr>
              <w:t xml:space="preserve"> й </w:t>
            </w:r>
            <w:proofErr w:type="spellStart"/>
            <w:r w:rsidRPr="009B7A2E">
              <w:rPr>
                <w:i/>
              </w:rPr>
              <w:t>подобряване</w:t>
            </w:r>
            <w:proofErr w:type="spellEnd"/>
            <w:r w:rsidRPr="009B7A2E">
              <w:rPr>
                <w:i/>
              </w:rPr>
              <w:t>.</w:t>
            </w:r>
          </w:p>
          <w:p w:rsidR="00B01D68" w:rsidRDefault="00B01D68" w:rsidP="00597722">
            <w:pPr>
              <w:shd w:val="clear" w:color="auto" w:fill="FFFFFF"/>
              <w:tabs>
                <w:tab w:val="left" w:pos="567"/>
                <w:tab w:val="left" w:pos="1320"/>
              </w:tabs>
              <w:autoSpaceDE w:val="0"/>
              <w:autoSpaceDN w:val="0"/>
              <w:adjustRightInd w:val="0"/>
              <w:spacing w:before="120"/>
              <w:ind w:right="140"/>
              <w:jc w:val="both"/>
              <w:rPr>
                <w:i/>
                <w:lang w:val="bg-BG"/>
              </w:rPr>
            </w:pPr>
            <w:proofErr w:type="spellStart"/>
            <w:r w:rsidRPr="009B7A2E">
              <w:rPr>
                <w:i/>
              </w:rPr>
              <w:t>Притежанието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на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сертификат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по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стандарт</w:t>
            </w:r>
            <w:proofErr w:type="spellEnd"/>
            <w:r w:rsidRPr="009B7A2E">
              <w:rPr>
                <w:i/>
              </w:rPr>
              <w:t xml:space="preserve"> ISO 27001:2005 </w:t>
            </w:r>
            <w:proofErr w:type="spellStart"/>
            <w:r w:rsidRPr="009B7A2E">
              <w:rPr>
                <w:i/>
              </w:rPr>
              <w:t>гарантира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съответствието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на</w:t>
            </w:r>
            <w:proofErr w:type="spellEnd"/>
            <w:r w:rsidRPr="009B7A2E">
              <w:rPr>
                <w:i/>
              </w:rPr>
              <w:t xml:space="preserve"> </w:t>
            </w:r>
            <w:r w:rsidRPr="009B7A2E">
              <w:rPr>
                <w:i/>
                <w:lang w:val="bg-BG"/>
              </w:rPr>
              <w:t>ползван</w:t>
            </w:r>
            <w:r>
              <w:rPr>
                <w:i/>
                <w:lang w:val="bg-BG"/>
              </w:rPr>
              <w:t>ите</w:t>
            </w:r>
            <w:r w:rsidRPr="009B7A2E">
              <w:rPr>
                <w:i/>
                <w:lang w:val="bg-BG"/>
              </w:rPr>
              <w:t xml:space="preserve"> </w:t>
            </w:r>
            <w:r>
              <w:rPr>
                <w:i/>
                <w:lang w:val="bg-BG"/>
              </w:rPr>
              <w:t>от Изпълнителят</w:t>
            </w:r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информационн</w:t>
            </w:r>
            <w:proofErr w:type="spellEnd"/>
            <w:r>
              <w:rPr>
                <w:i/>
                <w:lang w:val="bg-BG"/>
              </w:rPr>
              <w:t>и</w:t>
            </w:r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систем</w:t>
            </w:r>
            <w:proofErr w:type="spellEnd"/>
            <w:r>
              <w:rPr>
                <w:i/>
                <w:lang w:val="bg-BG"/>
              </w:rPr>
              <w:t>и</w:t>
            </w:r>
            <w:r w:rsidRPr="009B7A2E">
              <w:rPr>
                <w:i/>
              </w:rPr>
              <w:t xml:space="preserve"> с </w:t>
            </w:r>
            <w:proofErr w:type="spellStart"/>
            <w:r w:rsidRPr="009B7A2E">
              <w:rPr>
                <w:i/>
              </w:rPr>
              <w:t>изискванията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за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информационна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сигурност</w:t>
            </w:r>
            <w:proofErr w:type="spellEnd"/>
            <w:r w:rsidRPr="009B7A2E">
              <w:rPr>
                <w:i/>
              </w:rPr>
              <w:t xml:space="preserve">, </w:t>
            </w:r>
            <w:proofErr w:type="spellStart"/>
            <w:r w:rsidRPr="009B7A2E">
              <w:rPr>
                <w:i/>
              </w:rPr>
              <w:t>както</w:t>
            </w:r>
            <w:proofErr w:type="spellEnd"/>
            <w:r w:rsidRPr="009B7A2E">
              <w:rPr>
                <w:i/>
              </w:rPr>
              <w:t xml:space="preserve"> и </w:t>
            </w:r>
            <w:proofErr w:type="spellStart"/>
            <w:r w:rsidRPr="009B7A2E">
              <w:rPr>
                <w:i/>
              </w:rPr>
              <w:t>гарантира</w:t>
            </w:r>
            <w:proofErr w:type="spellEnd"/>
            <w:r>
              <w:rPr>
                <w:i/>
                <w:lang w:val="bg-BG"/>
              </w:rPr>
              <w:t>,</w:t>
            </w:r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че</w:t>
            </w:r>
            <w:proofErr w:type="spellEnd"/>
            <w:r w:rsidRPr="009B7A2E">
              <w:rPr>
                <w:i/>
              </w:rPr>
              <w:t xml:space="preserve"> в </w:t>
            </w:r>
            <w:proofErr w:type="spellStart"/>
            <w:r w:rsidRPr="009B7A2E">
              <w:rPr>
                <w:i/>
              </w:rPr>
              <w:t>своята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дейност</w:t>
            </w:r>
            <w:proofErr w:type="spellEnd"/>
            <w:r w:rsidRPr="009B7A2E">
              <w:rPr>
                <w:i/>
              </w:rPr>
              <w:t xml:space="preserve"> </w:t>
            </w:r>
            <w:r>
              <w:rPr>
                <w:i/>
                <w:lang w:val="bg-BG"/>
              </w:rPr>
              <w:t>той</w:t>
            </w:r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спазва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добрите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практики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по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отношение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сигурността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на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информацията</w:t>
            </w:r>
            <w:proofErr w:type="spellEnd"/>
            <w:r w:rsidRPr="009B7A2E">
              <w:rPr>
                <w:i/>
              </w:rPr>
              <w:t xml:space="preserve">, с </w:t>
            </w:r>
            <w:proofErr w:type="spellStart"/>
            <w:r w:rsidRPr="009B7A2E">
              <w:rPr>
                <w:i/>
              </w:rPr>
              <w:t>която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борави</w:t>
            </w:r>
            <w:proofErr w:type="spellEnd"/>
            <w:r w:rsidRPr="009B7A2E">
              <w:rPr>
                <w:i/>
                <w:lang w:val="bg-BG"/>
              </w:rPr>
              <w:t xml:space="preserve">. </w:t>
            </w:r>
            <w:proofErr w:type="spellStart"/>
            <w:r w:rsidRPr="009B7A2E">
              <w:rPr>
                <w:i/>
              </w:rPr>
              <w:t>Притежанието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на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сертификата</w:t>
            </w:r>
            <w:proofErr w:type="spellEnd"/>
            <w:r w:rsidRPr="009B7A2E">
              <w:rPr>
                <w:i/>
              </w:rPr>
              <w:t xml:space="preserve"> е </w:t>
            </w:r>
            <w:proofErr w:type="spellStart"/>
            <w:r w:rsidRPr="009B7A2E">
              <w:rPr>
                <w:i/>
              </w:rPr>
              <w:t>признак</w:t>
            </w:r>
            <w:proofErr w:type="spellEnd"/>
            <w:r w:rsidRPr="009B7A2E">
              <w:rPr>
                <w:i/>
              </w:rPr>
              <w:t xml:space="preserve">, </w:t>
            </w:r>
            <w:proofErr w:type="spellStart"/>
            <w:r w:rsidRPr="009B7A2E">
              <w:rPr>
                <w:i/>
              </w:rPr>
              <w:t>че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Изпълнителят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отговаря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на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нормативни</w:t>
            </w:r>
            <w:proofErr w:type="spellEnd"/>
            <w:r w:rsidRPr="009B7A2E">
              <w:rPr>
                <w:i/>
              </w:rPr>
              <w:t xml:space="preserve"> и </w:t>
            </w:r>
            <w:proofErr w:type="spellStart"/>
            <w:r w:rsidRPr="009B7A2E">
              <w:rPr>
                <w:i/>
              </w:rPr>
              <w:t>други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регулативни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изисквания</w:t>
            </w:r>
            <w:proofErr w:type="spellEnd"/>
            <w:r w:rsidRPr="009B7A2E">
              <w:rPr>
                <w:i/>
              </w:rPr>
              <w:t xml:space="preserve"> и </w:t>
            </w:r>
            <w:proofErr w:type="spellStart"/>
            <w:r w:rsidRPr="009B7A2E">
              <w:rPr>
                <w:i/>
              </w:rPr>
              <w:t>гарантира</w:t>
            </w:r>
            <w:proofErr w:type="spellEnd"/>
            <w:r w:rsidRPr="009B7A2E">
              <w:rPr>
                <w:i/>
              </w:rPr>
              <w:t xml:space="preserve">, </w:t>
            </w:r>
            <w:proofErr w:type="spellStart"/>
            <w:r w:rsidRPr="009B7A2E">
              <w:rPr>
                <w:i/>
              </w:rPr>
              <w:t>че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информационн</w:t>
            </w:r>
            <w:r>
              <w:rPr>
                <w:i/>
              </w:rPr>
              <w:t>ият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риск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управлява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ефективно</w:t>
            </w:r>
            <w:proofErr w:type="spellEnd"/>
            <w:r>
              <w:rPr>
                <w:i/>
                <w:lang w:val="bg-BG"/>
              </w:rPr>
              <w:t>.</w:t>
            </w:r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Сертификацията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на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Система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за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управление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на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сигурност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на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информацията</w:t>
            </w:r>
            <w:proofErr w:type="spellEnd"/>
            <w:r w:rsidRPr="009B7A2E">
              <w:rPr>
                <w:i/>
              </w:rPr>
              <w:t xml:space="preserve">, </w:t>
            </w:r>
            <w:proofErr w:type="spellStart"/>
            <w:r w:rsidRPr="009B7A2E">
              <w:rPr>
                <w:i/>
              </w:rPr>
              <w:t>съгласно</w:t>
            </w:r>
            <w:proofErr w:type="spellEnd"/>
            <w:r w:rsidRPr="009B7A2E">
              <w:rPr>
                <w:i/>
              </w:rPr>
              <w:t xml:space="preserve"> ISO 27001 </w:t>
            </w:r>
            <w:proofErr w:type="spellStart"/>
            <w:r w:rsidRPr="009B7A2E">
              <w:rPr>
                <w:i/>
              </w:rPr>
              <w:t>доказва</w:t>
            </w:r>
            <w:proofErr w:type="spellEnd"/>
            <w:r w:rsidRPr="009B7A2E">
              <w:rPr>
                <w:i/>
              </w:rPr>
              <w:t xml:space="preserve">, </w:t>
            </w:r>
            <w:proofErr w:type="spellStart"/>
            <w:r w:rsidRPr="009B7A2E">
              <w:rPr>
                <w:i/>
              </w:rPr>
              <w:t>че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Изпълнителя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гарантира</w:t>
            </w:r>
            <w:proofErr w:type="spellEnd"/>
            <w:r w:rsidRPr="009B7A2E">
              <w:rPr>
                <w:i/>
              </w:rPr>
              <w:t xml:space="preserve"> в </w:t>
            </w:r>
            <w:proofErr w:type="spellStart"/>
            <w:r w:rsidRPr="009B7A2E">
              <w:rPr>
                <w:i/>
              </w:rPr>
              <w:t>максимална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степен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сигурността</w:t>
            </w:r>
            <w:proofErr w:type="spellEnd"/>
            <w:r w:rsidRPr="009B7A2E">
              <w:rPr>
                <w:i/>
              </w:rPr>
              <w:t xml:space="preserve">, </w:t>
            </w:r>
            <w:proofErr w:type="spellStart"/>
            <w:r w:rsidRPr="009B7A2E">
              <w:rPr>
                <w:i/>
              </w:rPr>
              <w:t>както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на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собствената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си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информация</w:t>
            </w:r>
            <w:proofErr w:type="spellEnd"/>
            <w:r w:rsidRPr="009B7A2E">
              <w:rPr>
                <w:i/>
              </w:rPr>
              <w:t xml:space="preserve">, </w:t>
            </w:r>
            <w:proofErr w:type="spellStart"/>
            <w:r w:rsidRPr="009B7A2E">
              <w:rPr>
                <w:i/>
              </w:rPr>
              <w:t>така</w:t>
            </w:r>
            <w:proofErr w:type="spellEnd"/>
            <w:r w:rsidRPr="009B7A2E">
              <w:rPr>
                <w:i/>
              </w:rPr>
              <w:t xml:space="preserve"> и </w:t>
            </w:r>
            <w:proofErr w:type="spellStart"/>
            <w:r w:rsidRPr="009B7A2E">
              <w:rPr>
                <w:i/>
              </w:rPr>
              <w:t>на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тази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на</w:t>
            </w:r>
            <w:proofErr w:type="spellEnd"/>
            <w:r w:rsidRPr="009B7A2E">
              <w:rPr>
                <w:i/>
              </w:rPr>
              <w:t xml:space="preserve"> </w:t>
            </w:r>
            <w:proofErr w:type="spellStart"/>
            <w:r w:rsidRPr="009B7A2E">
              <w:rPr>
                <w:i/>
              </w:rPr>
              <w:t>Възложителя</w:t>
            </w:r>
            <w:proofErr w:type="spellEnd"/>
            <w:r w:rsidRPr="009B7A2E">
              <w:rPr>
                <w:i/>
              </w:rPr>
              <w:t>.</w:t>
            </w:r>
          </w:p>
          <w:p w:rsidR="00B01D68" w:rsidRPr="00F6631A" w:rsidRDefault="00B01D68" w:rsidP="00597722">
            <w:pPr>
              <w:shd w:val="clear" w:color="auto" w:fill="FFFFFF"/>
              <w:tabs>
                <w:tab w:val="left" w:pos="567"/>
                <w:tab w:val="left" w:pos="1320"/>
              </w:tabs>
              <w:autoSpaceDE w:val="0"/>
              <w:autoSpaceDN w:val="0"/>
              <w:adjustRightInd w:val="0"/>
              <w:spacing w:before="120"/>
              <w:ind w:right="140"/>
              <w:jc w:val="both"/>
              <w:rPr>
                <w:i/>
              </w:rPr>
            </w:pPr>
            <w:proofErr w:type="spellStart"/>
            <w:r w:rsidRPr="00F6631A">
              <w:rPr>
                <w:i/>
              </w:rPr>
              <w:t>Наличието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на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система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за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управление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на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информационни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услуги</w:t>
            </w:r>
            <w:proofErr w:type="spellEnd"/>
            <w:r w:rsidRPr="00F6631A">
              <w:rPr>
                <w:i/>
              </w:rPr>
              <w:t xml:space="preserve"> в ИТ, </w:t>
            </w:r>
            <w:proofErr w:type="spellStart"/>
            <w:r w:rsidRPr="00F6631A">
              <w:rPr>
                <w:i/>
              </w:rPr>
              <w:t>сертифицирана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по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стандарт</w:t>
            </w:r>
            <w:proofErr w:type="spellEnd"/>
            <w:r w:rsidRPr="00F6631A">
              <w:rPr>
                <w:i/>
              </w:rPr>
              <w:t xml:space="preserve"> ISO 20000-1:2011 </w:t>
            </w:r>
            <w:proofErr w:type="spellStart"/>
            <w:r w:rsidRPr="00F6631A">
              <w:rPr>
                <w:i/>
              </w:rPr>
              <w:t>гарантира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съответствието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на</w:t>
            </w:r>
            <w:proofErr w:type="spellEnd"/>
            <w:r w:rsidRPr="00F6631A">
              <w:rPr>
                <w:i/>
              </w:rPr>
              <w:t xml:space="preserve"> </w:t>
            </w:r>
            <w:r w:rsidRPr="00F6631A">
              <w:rPr>
                <w:i/>
                <w:lang w:val="bg-BG"/>
              </w:rPr>
              <w:t xml:space="preserve">ползваните </w:t>
            </w:r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програмни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продукти</w:t>
            </w:r>
            <w:proofErr w:type="spellEnd"/>
            <w:r w:rsidRPr="00F6631A">
              <w:rPr>
                <w:i/>
              </w:rPr>
              <w:t xml:space="preserve"> с </w:t>
            </w:r>
            <w:proofErr w:type="spellStart"/>
            <w:r w:rsidRPr="00F6631A">
              <w:rPr>
                <w:i/>
              </w:rPr>
              <w:t>изискванията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за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управление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на</w:t>
            </w:r>
            <w:proofErr w:type="spellEnd"/>
            <w:r w:rsidRPr="00F6631A">
              <w:rPr>
                <w:i/>
              </w:rPr>
              <w:t xml:space="preserve"> IT </w:t>
            </w:r>
            <w:proofErr w:type="spellStart"/>
            <w:r w:rsidRPr="00F6631A">
              <w:rPr>
                <w:i/>
              </w:rPr>
              <w:t>услугите</w:t>
            </w:r>
            <w:proofErr w:type="spellEnd"/>
            <w:r w:rsidRPr="00F6631A">
              <w:rPr>
                <w:i/>
              </w:rPr>
              <w:t xml:space="preserve"> и </w:t>
            </w:r>
            <w:proofErr w:type="spellStart"/>
            <w:r w:rsidRPr="00F6631A">
              <w:rPr>
                <w:i/>
              </w:rPr>
              <w:t>се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отнася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за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тези</w:t>
            </w:r>
            <w:proofErr w:type="spellEnd"/>
            <w:r w:rsidRPr="00F6631A">
              <w:rPr>
                <w:i/>
              </w:rPr>
              <w:t xml:space="preserve">, </w:t>
            </w:r>
            <w:proofErr w:type="spellStart"/>
            <w:r w:rsidRPr="00F6631A">
              <w:rPr>
                <w:i/>
              </w:rPr>
              <w:t>които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отговарят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за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внедряването</w:t>
            </w:r>
            <w:proofErr w:type="spellEnd"/>
            <w:r w:rsidRPr="00F6631A">
              <w:rPr>
                <w:i/>
              </w:rPr>
              <w:t xml:space="preserve"> и </w:t>
            </w:r>
            <w:proofErr w:type="spellStart"/>
            <w:r w:rsidRPr="00F6631A">
              <w:rPr>
                <w:i/>
              </w:rPr>
              <w:t>поддържането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на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Системата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за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управление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на</w:t>
            </w:r>
            <w:proofErr w:type="spellEnd"/>
            <w:r w:rsidRPr="00F6631A">
              <w:rPr>
                <w:i/>
              </w:rPr>
              <w:t xml:space="preserve"> IT </w:t>
            </w:r>
            <w:proofErr w:type="spellStart"/>
            <w:r w:rsidRPr="00F6631A">
              <w:rPr>
                <w:i/>
              </w:rPr>
              <w:t>услугите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при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Изпълнителя</w:t>
            </w:r>
            <w:proofErr w:type="spellEnd"/>
            <w:r w:rsidRPr="00F6631A">
              <w:rPr>
                <w:i/>
              </w:rPr>
              <w:t xml:space="preserve">. </w:t>
            </w:r>
            <w:proofErr w:type="spellStart"/>
            <w:r w:rsidRPr="00F6631A">
              <w:rPr>
                <w:i/>
              </w:rPr>
              <w:t>Съгласно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изискванията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на</w:t>
            </w:r>
            <w:proofErr w:type="spellEnd"/>
            <w:r w:rsidRPr="00F6631A">
              <w:rPr>
                <w:i/>
              </w:rPr>
              <w:t xml:space="preserve"> ISO 20000-1:2011 </w:t>
            </w:r>
            <w:r>
              <w:rPr>
                <w:i/>
                <w:lang w:val="bg-BG"/>
              </w:rPr>
              <w:t xml:space="preserve">предприятието </w:t>
            </w:r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Изпълнител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гарантира</w:t>
            </w:r>
            <w:proofErr w:type="spellEnd"/>
            <w:r w:rsidRPr="00F6631A">
              <w:rPr>
                <w:i/>
              </w:rPr>
              <w:t xml:space="preserve">, </w:t>
            </w:r>
            <w:proofErr w:type="spellStart"/>
            <w:r w:rsidRPr="00F6631A">
              <w:rPr>
                <w:i/>
              </w:rPr>
              <w:t>че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всички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дейности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се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извършват</w:t>
            </w:r>
            <w:proofErr w:type="spellEnd"/>
            <w:r w:rsidRPr="00F6631A">
              <w:rPr>
                <w:i/>
              </w:rPr>
              <w:t xml:space="preserve"> и </w:t>
            </w:r>
            <w:proofErr w:type="spellStart"/>
            <w:r w:rsidRPr="00F6631A">
              <w:rPr>
                <w:i/>
              </w:rPr>
              <w:t>предоставят</w:t>
            </w:r>
            <w:proofErr w:type="spellEnd"/>
            <w:r w:rsidRPr="00F6631A">
              <w:rPr>
                <w:i/>
              </w:rPr>
              <w:t xml:space="preserve"> и </w:t>
            </w:r>
            <w:proofErr w:type="spellStart"/>
            <w:r w:rsidRPr="00F6631A">
              <w:rPr>
                <w:i/>
              </w:rPr>
              <w:t>че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постигат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желаните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резултати</w:t>
            </w:r>
            <w:proofErr w:type="spellEnd"/>
            <w:r w:rsidRPr="00F6631A">
              <w:rPr>
                <w:i/>
              </w:rPr>
              <w:t xml:space="preserve">. </w:t>
            </w:r>
            <w:proofErr w:type="spellStart"/>
            <w:r w:rsidRPr="00F6631A">
              <w:rPr>
                <w:i/>
              </w:rPr>
              <w:t>Сертификацията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по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стандарта</w:t>
            </w:r>
            <w:proofErr w:type="spellEnd"/>
            <w:r w:rsidRPr="00F6631A">
              <w:rPr>
                <w:i/>
              </w:rPr>
              <w:t xml:space="preserve"> ISO 20000-1:2011 </w:t>
            </w:r>
            <w:proofErr w:type="spellStart"/>
            <w:r w:rsidRPr="00F6631A">
              <w:rPr>
                <w:i/>
              </w:rPr>
              <w:t>предполага</w:t>
            </w:r>
            <w:proofErr w:type="spellEnd"/>
            <w:r w:rsidRPr="00F6631A">
              <w:rPr>
                <w:i/>
              </w:rPr>
              <w:t xml:space="preserve">, </w:t>
            </w:r>
            <w:proofErr w:type="spellStart"/>
            <w:r w:rsidRPr="00F6631A">
              <w:rPr>
                <w:i/>
              </w:rPr>
              <w:t>че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Изпълнителя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предоставя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висококачествени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услуги</w:t>
            </w:r>
            <w:proofErr w:type="spellEnd"/>
            <w:r w:rsidRPr="00F6631A">
              <w:rPr>
                <w:i/>
              </w:rPr>
              <w:t xml:space="preserve">. ISO 20000-1:2011 </w:t>
            </w:r>
            <w:proofErr w:type="spellStart"/>
            <w:r w:rsidRPr="00F6631A">
              <w:rPr>
                <w:i/>
              </w:rPr>
              <w:t>намалява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оперативния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риск</w:t>
            </w:r>
            <w:proofErr w:type="spellEnd"/>
            <w:r w:rsidRPr="00F6631A">
              <w:rPr>
                <w:i/>
              </w:rPr>
              <w:t xml:space="preserve">, </w:t>
            </w:r>
            <w:proofErr w:type="spellStart"/>
            <w:r w:rsidRPr="00F6631A">
              <w:rPr>
                <w:i/>
              </w:rPr>
              <w:t>удовлетворява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договорните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изисквания</w:t>
            </w:r>
            <w:proofErr w:type="spellEnd"/>
            <w:r w:rsidRPr="00F6631A">
              <w:rPr>
                <w:i/>
              </w:rPr>
              <w:t xml:space="preserve"> и </w:t>
            </w:r>
            <w:proofErr w:type="spellStart"/>
            <w:r w:rsidRPr="00F6631A">
              <w:rPr>
                <w:i/>
              </w:rPr>
              <w:t>демонстрира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качество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на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предоставяните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услуги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на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оптимизирана</w:t>
            </w:r>
            <w:proofErr w:type="spellEnd"/>
            <w:r w:rsidRPr="00F6631A">
              <w:rPr>
                <w:i/>
              </w:rPr>
              <w:t xml:space="preserve"> </w:t>
            </w:r>
            <w:proofErr w:type="spellStart"/>
            <w:r w:rsidRPr="00F6631A">
              <w:rPr>
                <w:i/>
              </w:rPr>
              <w:t>цена</w:t>
            </w:r>
            <w:proofErr w:type="spellEnd"/>
            <w:r w:rsidRPr="00F6631A">
              <w:rPr>
                <w:i/>
              </w:rPr>
              <w:t>.</w:t>
            </w:r>
          </w:p>
          <w:p w:rsidR="00B01D68" w:rsidRPr="00360B8E" w:rsidRDefault="00B01D68" w:rsidP="00597722">
            <w:pPr>
              <w:shd w:val="clear" w:color="auto" w:fill="FFFFFF"/>
              <w:tabs>
                <w:tab w:val="left" w:pos="567"/>
                <w:tab w:val="left" w:pos="1320"/>
              </w:tabs>
              <w:autoSpaceDE w:val="0"/>
              <w:autoSpaceDN w:val="0"/>
              <w:adjustRightInd w:val="0"/>
              <w:spacing w:before="120"/>
              <w:ind w:right="140"/>
              <w:jc w:val="both"/>
              <w:rPr>
                <w:i/>
                <w:lang w:val="bg-BG"/>
              </w:rPr>
            </w:pPr>
            <w:r w:rsidRPr="00843E26">
              <w:rPr>
                <w:b/>
                <w:i/>
                <w:lang w:val="bg-BG"/>
              </w:rPr>
              <w:t>Нормативното изискване</w:t>
            </w:r>
            <w:r w:rsidRPr="000C4899">
              <w:rPr>
                <w:i/>
                <w:lang w:val="bg-BG"/>
              </w:rPr>
              <w:t xml:space="preserve"> произтича от  </w:t>
            </w:r>
            <w:r w:rsidRPr="000C4899">
              <w:rPr>
                <w:b/>
                <w:i/>
                <w:lang w:val="bg-BG"/>
              </w:rPr>
              <w:t>Закона за електронните съобщения</w:t>
            </w:r>
            <w:r w:rsidRPr="000C4899">
              <w:rPr>
                <w:i/>
                <w:lang w:val="bg-BG"/>
              </w:rPr>
              <w:t xml:space="preserve"> Раздел II Стандарти в областта на електронните съобщителни мрежи и/или услуги чл.280</w:t>
            </w:r>
            <w:r>
              <w:rPr>
                <w:i/>
                <w:lang w:val="bg-BG"/>
              </w:rPr>
              <w:t xml:space="preserve"> </w:t>
            </w:r>
            <w:r w:rsidRPr="000C4899">
              <w:rPr>
                <w:i/>
                <w:lang w:val="bg-BG"/>
              </w:rPr>
              <w:t>(</w:t>
            </w:r>
            <w:r w:rsidRPr="000C4899">
              <w:rPr>
                <w:i/>
              </w:rPr>
              <w:t>3</w:t>
            </w:r>
            <w:r w:rsidRPr="000C4899">
              <w:rPr>
                <w:i/>
                <w:lang w:val="bg-BG"/>
              </w:rPr>
              <w:t>)</w:t>
            </w:r>
            <w:r>
              <w:rPr>
                <w:i/>
                <w:lang w:val="bg-BG"/>
              </w:rPr>
              <w:t xml:space="preserve"> и</w:t>
            </w:r>
            <w:r>
              <w:rPr>
                <w:i/>
              </w:rPr>
              <w:t xml:space="preserve"> </w:t>
            </w:r>
            <w:r w:rsidRPr="00360B8E">
              <w:rPr>
                <w:rFonts w:eastAsia="Calibri"/>
                <w:i/>
                <w:sz w:val="22"/>
                <w:szCs w:val="22"/>
                <w:lang w:val="bg-BG" w:eastAsia="bg-BG"/>
              </w:rPr>
              <w:t>„</w:t>
            </w:r>
            <w:r w:rsidRPr="00360B8E">
              <w:rPr>
                <w:rFonts w:eastAsia="Calibri"/>
                <w:bCs/>
                <w:i/>
                <w:color w:val="000000"/>
                <w:sz w:val="22"/>
                <w:szCs w:val="22"/>
                <w:lang w:val="bg-BG" w:eastAsia="bg-BG"/>
              </w:rPr>
              <w:t>Общи  изисквания при осъществяване на обществени електронни съобщения” чл. 15</w:t>
            </w:r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rFonts w:eastAsia="Calibri"/>
                <w:bCs/>
                <w:i/>
                <w:color w:val="000000"/>
                <w:sz w:val="22"/>
                <w:szCs w:val="22"/>
                <w:lang w:eastAsia="bg-BG"/>
              </w:rPr>
              <w:t>(3)</w:t>
            </w:r>
            <w:r w:rsidRPr="00360B8E">
              <w:rPr>
                <w:rFonts w:eastAsia="Calibri"/>
                <w:bCs/>
                <w:i/>
                <w:color w:val="000000"/>
                <w:sz w:val="22"/>
                <w:szCs w:val="22"/>
                <w:lang w:val="bg-BG" w:eastAsia="bg-BG"/>
              </w:rPr>
              <w:t>.</w:t>
            </w:r>
          </w:p>
          <w:p w:rsidR="00B01D68" w:rsidRPr="00DA7B36" w:rsidRDefault="00B01D68" w:rsidP="0059772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/>
              </w:rPr>
            </w:pPr>
            <w:proofErr w:type="spellStart"/>
            <w:r w:rsidRPr="00DA7B36">
              <w:rPr>
                <w:b/>
                <w:i/>
                <w:u w:val="single"/>
              </w:rPr>
              <w:t>Забележка</w:t>
            </w:r>
            <w:proofErr w:type="spellEnd"/>
            <w:r w:rsidRPr="00DA7B36">
              <w:rPr>
                <w:b/>
                <w:i/>
                <w:u w:val="single"/>
              </w:rPr>
              <w:t>:</w:t>
            </w:r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Сертификатите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трябва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да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са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издадени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от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независими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лица</w:t>
            </w:r>
            <w:proofErr w:type="spellEnd"/>
            <w:r w:rsidRPr="00DA7B36">
              <w:rPr>
                <w:i/>
              </w:rPr>
              <w:t xml:space="preserve">, </w:t>
            </w:r>
            <w:proofErr w:type="spellStart"/>
            <w:r w:rsidRPr="00DA7B36">
              <w:rPr>
                <w:i/>
              </w:rPr>
              <w:t>които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са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акредитирани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по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съответната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серия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европейски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стандарти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от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Изпълнителна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агенция</w:t>
            </w:r>
            <w:proofErr w:type="spellEnd"/>
            <w:r w:rsidRPr="00DA7B36">
              <w:rPr>
                <w:i/>
              </w:rPr>
              <w:t xml:space="preserve"> "</w:t>
            </w:r>
            <w:proofErr w:type="spellStart"/>
            <w:r w:rsidRPr="00DA7B36">
              <w:rPr>
                <w:i/>
              </w:rPr>
              <w:t>Българска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служба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за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акредитация</w:t>
            </w:r>
            <w:proofErr w:type="spellEnd"/>
            <w:r w:rsidRPr="00DA7B36">
              <w:rPr>
                <w:i/>
              </w:rPr>
              <w:t xml:space="preserve">" </w:t>
            </w:r>
            <w:proofErr w:type="spellStart"/>
            <w:r w:rsidRPr="00DA7B36">
              <w:rPr>
                <w:i/>
              </w:rPr>
              <w:t>или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от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друг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национален</w:t>
            </w:r>
            <w:proofErr w:type="spellEnd"/>
            <w:r w:rsidRPr="00DA7B36">
              <w:rPr>
                <w:i/>
              </w:rPr>
              <w:t>/</w:t>
            </w:r>
            <w:proofErr w:type="spellStart"/>
            <w:r w:rsidRPr="00DA7B36">
              <w:rPr>
                <w:i/>
              </w:rPr>
              <w:t>международен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орган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за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акредитация</w:t>
            </w:r>
            <w:proofErr w:type="spellEnd"/>
            <w:r w:rsidRPr="00DA7B36">
              <w:rPr>
                <w:i/>
              </w:rPr>
              <w:t xml:space="preserve">, </w:t>
            </w:r>
            <w:proofErr w:type="spellStart"/>
            <w:r w:rsidRPr="00DA7B36">
              <w:rPr>
                <w:i/>
              </w:rPr>
              <w:t>който</w:t>
            </w:r>
            <w:proofErr w:type="spellEnd"/>
            <w:r w:rsidRPr="00DA7B36">
              <w:rPr>
                <w:i/>
              </w:rPr>
              <w:t xml:space="preserve"> е </w:t>
            </w:r>
            <w:proofErr w:type="spellStart"/>
            <w:r w:rsidRPr="00DA7B36">
              <w:rPr>
                <w:i/>
              </w:rPr>
              <w:t>страна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по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Многостранното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споразумение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за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взаимно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признаване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на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Европейската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организация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за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акредитация</w:t>
            </w:r>
            <w:proofErr w:type="spellEnd"/>
            <w:r w:rsidRPr="00DA7B36">
              <w:rPr>
                <w:i/>
              </w:rPr>
              <w:t xml:space="preserve">, </w:t>
            </w:r>
            <w:proofErr w:type="spellStart"/>
            <w:r w:rsidRPr="00DA7B36">
              <w:rPr>
                <w:i/>
              </w:rPr>
              <w:t>за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съответната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област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или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да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отговарят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на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изискванията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за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признаване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съгласно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чл</w:t>
            </w:r>
            <w:proofErr w:type="spellEnd"/>
            <w:r w:rsidRPr="00DA7B36">
              <w:rPr>
                <w:i/>
              </w:rPr>
              <w:t xml:space="preserve">. 5а, </w:t>
            </w:r>
            <w:proofErr w:type="spellStart"/>
            <w:r w:rsidRPr="00DA7B36">
              <w:rPr>
                <w:i/>
              </w:rPr>
              <w:t>ал</w:t>
            </w:r>
            <w:proofErr w:type="spellEnd"/>
            <w:r w:rsidRPr="00DA7B36">
              <w:rPr>
                <w:i/>
              </w:rPr>
              <w:t xml:space="preserve">. 2 </w:t>
            </w:r>
            <w:proofErr w:type="spellStart"/>
            <w:r w:rsidRPr="00DA7B36">
              <w:rPr>
                <w:i/>
              </w:rPr>
              <w:t>от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Закона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за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националната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акредитация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на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органи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за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оценяване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на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съответствието</w:t>
            </w:r>
            <w:proofErr w:type="spellEnd"/>
            <w:r w:rsidRPr="00DA7B36">
              <w:rPr>
                <w:i/>
              </w:rPr>
              <w:t>.</w:t>
            </w:r>
          </w:p>
          <w:p w:rsidR="00B01D68" w:rsidRPr="000C4899" w:rsidRDefault="00B01D68" w:rsidP="00597722">
            <w:pPr>
              <w:autoSpaceDE w:val="0"/>
              <w:autoSpaceDN w:val="0"/>
              <w:adjustRightInd w:val="0"/>
              <w:ind w:firstLine="708"/>
              <w:jc w:val="both"/>
              <w:rPr>
                <w:lang w:val="bg-BG"/>
              </w:rPr>
            </w:pPr>
            <w:proofErr w:type="spellStart"/>
            <w:r w:rsidRPr="00DA7B36">
              <w:rPr>
                <w:i/>
              </w:rPr>
              <w:t>Възложителят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ще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приеме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еквивалентни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сертификати</w:t>
            </w:r>
            <w:proofErr w:type="spellEnd"/>
            <w:r w:rsidRPr="00DA7B36">
              <w:rPr>
                <w:i/>
              </w:rPr>
              <w:t xml:space="preserve">, </w:t>
            </w:r>
            <w:proofErr w:type="spellStart"/>
            <w:r w:rsidRPr="00DA7B36">
              <w:rPr>
                <w:i/>
              </w:rPr>
              <w:t>издадени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от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органи</w:t>
            </w:r>
            <w:proofErr w:type="spellEnd"/>
            <w:r w:rsidRPr="00DA7B36">
              <w:rPr>
                <w:i/>
              </w:rPr>
              <w:t xml:space="preserve">, </w:t>
            </w:r>
            <w:proofErr w:type="spellStart"/>
            <w:r w:rsidRPr="00DA7B36">
              <w:rPr>
                <w:i/>
              </w:rPr>
              <w:t>установени</w:t>
            </w:r>
            <w:proofErr w:type="spellEnd"/>
            <w:r w:rsidRPr="00DA7B36">
              <w:rPr>
                <w:i/>
              </w:rPr>
              <w:t xml:space="preserve"> в </w:t>
            </w:r>
            <w:proofErr w:type="spellStart"/>
            <w:r w:rsidRPr="00DA7B36">
              <w:rPr>
                <w:i/>
              </w:rPr>
              <w:t>други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държави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членки</w:t>
            </w:r>
            <w:proofErr w:type="spellEnd"/>
            <w:r w:rsidRPr="00DA7B36">
              <w:rPr>
                <w:i/>
              </w:rPr>
              <w:t xml:space="preserve">, </w:t>
            </w:r>
            <w:proofErr w:type="spellStart"/>
            <w:r w:rsidRPr="00DA7B36">
              <w:rPr>
                <w:i/>
              </w:rPr>
              <w:t>както</w:t>
            </w:r>
            <w:proofErr w:type="spellEnd"/>
            <w:r w:rsidRPr="00DA7B36">
              <w:rPr>
                <w:i/>
              </w:rPr>
              <w:t xml:space="preserve"> и </w:t>
            </w:r>
            <w:proofErr w:type="spellStart"/>
            <w:r w:rsidRPr="00DA7B36">
              <w:rPr>
                <w:i/>
              </w:rPr>
              <w:t>други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доказателства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за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еквивалентни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мерки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за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осигуряване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на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качеството</w:t>
            </w:r>
            <w:proofErr w:type="spellEnd"/>
            <w:r w:rsidRPr="00DA7B36">
              <w:rPr>
                <w:i/>
              </w:rPr>
              <w:t xml:space="preserve">, </w:t>
            </w:r>
            <w:proofErr w:type="spellStart"/>
            <w:r w:rsidRPr="00DA7B36">
              <w:rPr>
                <w:i/>
              </w:rPr>
              <w:t>осигуряване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на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сигурността</w:t>
            </w:r>
            <w:proofErr w:type="spellEnd"/>
            <w:r w:rsidRPr="00DA7B36">
              <w:rPr>
                <w:i/>
              </w:rPr>
              <w:t xml:space="preserve"> и </w:t>
            </w:r>
            <w:proofErr w:type="spellStart"/>
            <w:r w:rsidRPr="00DA7B36">
              <w:rPr>
                <w:i/>
              </w:rPr>
              <w:t>управление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на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информационни</w:t>
            </w:r>
            <w:proofErr w:type="spellEnd"/>
            <w:r w:rsidRPr="00DA7B36">
              <w:rPr>
                <w:i/>
              </w:rPr>
              <w:t xml:space="preserve"> </w:t>
            </w:r>
            <w:proofErr w:type="spellStart"/>
            <w:r w:rsidRPr="00DA7B36">
              <w:rPr>
                <w:i/>
              </w:rPr>
              <w:t>услуги</w:t>
            </w:r>
            <w:proofErr w:type="spellEnd"/>
            <w:r w:rsidRPr="00DA7B36">
              <w:rPr>
                <w:i/>
              </w:rPr>
              <w:t>.</w:t>
            </w:r>
          </w:p>
        </w:tc>
      </w:tr>
      <w:tr w:rsidR="00B01D68" w:rsidRPr="00556670" w:rsidTr="00597722">
        <w:tc>
          <w:tcPr>
            <w:tcW w:w="675" w:type="dxa"/>
          </w:tcPr>
          <w:p w:rsidR="00B01D68" w:rsidRPr="00556670" w:rsidRDefault="00B01D68" w:rsidP="00B01D6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13" w:type="dxa"/>
          </w:tcPr>
          <w:p w:rsidR="00B01D68" w:rsidRPr="00163D06" w:rsidRDefault="00B01D68" w:rsidP="00597722">
            <w:pPr>
              <w:jc w:val="both"/>
            </w:pPr>
            <w:r w:rsidRPr="00163D06">
              <w:rPr>
                <w:lang w:val="bg-BG"/>
              </w:rPr>
              <w:t xml:space="preserve">В случай, че се налага </w:t>
            </w:r>
            <w:r>
              <w:rPr>
                <w:lang w:val="bg-BG"/>
              </w:rPr>
              <w:t>Участникът</w:t>
            </w:r>
            <w:r w:rsidRPr="00163D06">
              <w:rPr>
                <w:lang w:val="ru-RU"/>
              </w:rPr>
              <w:t xml:space="preserve"> да </w:t>
            </w:r>
            <w:proofErr w:type="spellStart"/>
            <w:r w:rsidRPr="00163D06">
              <w:rPr>
                <w:lang w:val="ru-RU"/>
              </w:rPr>
              <w:t>осъществи</w:t>
            </w:r>
            <w:proofErr w:type="spellEnd"/>
            <w:r w:rsidRPr="00163D06">
              <w:rPr>
                <w:lang w:val="ru-RU"/>
              </w:rPr>
              <w:t xml:space="preserve"> плавен </w:t>
            </w:r>
            <w:proofErr w:type="spellStart"/>
            <w:r w:rsidRPr="00163D06">
              <w:rPr>
                <w:lang w:val="ru-RU"/>
              </w:rPr>
              <w:t>преход</w:t>
            </w:r>
            <w:proofErr w:type="spellEnd"/>
            <w:r w:rsidRPr="00163D06">
              <w:rPr>
                <w:lang w:val="ru-RU"/>
              </w:rPr>
              <w:t xml:space="preserve"> при </w:t>
            </w:r>
            <w:proofErr w:type="spellStart"/>
            <w:r w:rsidRPr="00163D06">
              <w:rPr>
                <w:lang w:val="ru-RU"/>
              </w:rPr>
              <w:t>прехвърляне</w:t>
            </w:r>
            <w:proofErr w:type="spellEnd"/>
            <w:r w:rsidRPr="00163D06">
              <w:rPr>
                <w:lang w:val="ru-RU"/>
              </w:rPr>
              <w:t xml:space="preserve"> на </w:t>
            </w:r>
            <w:proofErr w:type="spellStart"/>
            <w:r w:rsidRPr="00163D06">
              <w:rPr>
                <w:lang w:val="ru-RU"/>
              </w:rPr>
              <w:t>предоставянето</w:t>
            </w:r>
            <w:proofErr w:type="spellEnd"/>
            <w:r w:rsidRPr="00163D06">
              <w:rPr>
                <w:lang w:val="ru-RU"/>
              </w:rPr>
              <w:t xml:space="preserve"> на </w:t>
            </w:r>
            <w:proofErr w:type="spellStart"/>
            <w:r w:rsidRPr="00163D06">
              <w:rPr>
                <w:lang w:val="ru-RU"/>
              </w:rPr>
              <w:t>комуникационните</w:t>
            </w:r>
            <w:proofErr w:type="spellEnd"/>
            <w:r w:rsidRPr="00163D06">
              <w:rPr>
                <w:lang w:val="ru-RU"/>
              </w:rPr>
              <w:t xml:space="preserve"> услуги от </w:t>
            </w:r>
            <w:proofErr w:type="spellStart"/>
            <w:r w:rsidRPr="00163D06">
              <w:rPr>
                <w:lang w:val="ru-RU"/>
              </w:rPr>
              <w:t>съществуващия</w:t>
            </w:r>
            <w:proofErr w:type="spellEnd"/>
            <w:r w:rsidRPr="00163D06">
              <w:rPr>
                <w:lang w:val="ru-RU"/>
              </w:rPr>
              <w:t xml:space="preserve"> </w:t>
            </w:r>
            <w:proofErr w:type="spellStart"/>
            <w:r w:rsidRPr="00163D06">
              <w:rPr>
                <w:lang w:val="ru-RU"/>
              </w:rPr>
              <w:t>доставчик</w:t>
            </w:r>
            <w:proofErr w:type="spellEnd"/>
            <w:r w:rsidRPr="00163D06">
              <w:rPr>
                <w:lang w:val="ru-RU"/>
              </w:rPr>
              <w:t xml:space="preserve"> </w:t>
            </w:r>
            <w:proofErr w:type="spellStart"/>
            <w:r w:rsidRPr="00163D06">
              <w:rPr>
                <w:lang w:val="ru-RU"/>
              </w:rPr>
              <w:lastRenderedPageBreak/>
              <w:t>към</w:t>
            </w:r>
            <w:proofErr w:type="spellEnd"/>
            <w:r w:rsidRPr="00163D06">
              <w:rPr>
                <w:lang w:val="ru-RU"/>
              </w:rPr>
              <w:t xml:space="preserve"> нова </w:t>
            </w:r>
            <w:proofErr w:type="spellStart"/>
            <w:r w:rsidRPr="00163D06">
              <w:rPr>
                <w:lang w:val="ru-RU"/>
              </w:rPr>
              <w:t>комуникационна</w:t>
            </w:r>
            <w:proofErr w:type="spellEnd"/>
            <w:r w:rsidRPr="00163D06">
              <w:rPr>
                <w:lang w:val="ru-RU"/>
              </w:rPr>
              <w:t xml:space="preserve"> среда, </w:t>
            </w:r>
            <w:r w:rsidRPr="00163D06">
              <w:rPr>
                <w:lang w:val="bg-BG"/>
              </w:rPr>
              <w:t xml:space="preserve">трябва </w:t>
            </w:r>
            <w:r w:rsidRPr="00163D06">
              <w:rPr>
                <w:lang w:val="ru-RU"/>
              </w:rPr>
              <w:t>да</w:t>
            </w:r>
            <w:r w:rsidRPr="00163D06">
              <w:t xml:space="preserve"> </w:t>
            </w:r>
            <w:r w:rsidRPr="00163D06">
              <w:rPr>
                <w:lang w:val="bg-BG"/>
              </w:rPr>
              <w:t>декларира, че ще</w:t>
            </w:r>
            <w:r w:rsidRPr="00163D06">
              <w:rPr>
                <w:lang w:val="ru-RU"/>
              </w:rPr>
              <w:t xml:space="preserve"> </w:t>
            </w:r>
            <w:proofErr w:type="spellStart"/>
            <w:r w:rsidRPr="00163D06">
              <w:rPr>
                <w:lang w:val="ru-RU"/>
              </w:rPr>
              <w:t>осигури</w:t>
            </w:r>
            <w:proofErr w:type="spellEnd"/>
            <w:r w:rsidRPr="00163D06">
              <w:rPr>
                <w:lang w:val="ru-RU"/>
              </w:rPr>
              <w:t xml:space="preserve"> </w:t>
            </w:r>
            <w:proofErr w:type="spellStart"/>
            <w:r w:rsidRPr="00163D06">
              <w:rPr>
                <w:lang w:val="ru-RU"/>
              </w:rPr>
              <w:t>непрекъснатост</w:t>
            </w:r>
            <w:proofErr w:type="spellEnd"/>
            <w:r w:rsidRPr="00163D06">
              <w:rPr>
                <w:lang w:val="ru-RU"/>
              </w:rPr>
              <w:t xml:space="preserve"> на </w:t>
            </w:r>
            <w:proofErr w:type="spellStart"/>
            <w:r w:rsidRPr="00163D06">
              <w:rPr>
                <w:lang w:val="ru-RU"/>
              </w:rPr>
              <w:t>услугата</w:t>
            </w:r>
            <w:proofErr w:type="spellEnd"/>
            <w:r w:rsidRPr="00163D06">
              <w:rPr>
                <w:lang w:val="ru-RU"/>
              </w:rPr>
              <w:t xml:space="preserve"> с </w:t>
            </w:r>
            <w:proofErr w:type="spellStart"/>
            <w:r w:rsidRPr="00163D06">
              <w:rPr>
                <w:lang w:val="ru-RU"/>
              </w:rPr>
              <w:t>изискваното</w:t>
            </w:r>
            <w:proofErr w:type="spellEnd"/>
            <w:r w:rsidRPr="00163D06">
              <w:rPr>
                <w:lang w:val="ru-RU"/>
              </w:rPr>
              <w:t xml:space="preserve"> качество</w:t>
            </w:r>
            <w:r w:rsidRPr="00163D06">
              <w:t>.</w:t>
            </w:r>
            <w:r w:rsidRPr="00163D06">
              <w:rPr>
                <w:lang w:val="ru-RU"/>
              </w:rPr>
              <w:t xml:space="preserve"> </w:t>
            </w:r>
          </w:p>
          <w:p w:rsidR="00B01D68" w:rsidRPr="00163D06" w:rsidRDefault="00B01D68" w:rsidP="00597722">
            <w:pPr>
              <w:ind w:left="720"/>
              <w:jc w:val="both"/>
              <w:rPr>
                <w:lang w:val="bg-BG"/>
              </w:rPr>
            </w:pPr>
            <w:r w:rsidRPr="00163D06">
              <w:rPr>
                <w:b/>
                <w:lang w:val="bg-BG"/>
              </w:rPr>
              <w:t>Декларацията за непрекъснатост следва да бъде приложена към офертата</w:t>
            </w:r>
            <w:r w:rsidRPr="00163D06">
              <w:rPr>
                <w:lang w:val="bg-BG"/>
              </w:rPr>
              <w:t xml:space="preserve">. </w:t>
            </w:r>
          </w:p>
          <w:p w:rsidR="00B01D68" w:rsidRPr="00163D06" w:rsidRDefault="00B01D68" w:rsidP="00B01D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  <w:lang w:val="bg-BG"/>
              </w:rPr>
            </w:pPr>
            <w:r w:rsidRPr="00163D06">
              <w:rPr>
                <w:szCs w:val="24"/>
                <w:lang w:val="bg-BG"/>
              </w:rPr>
              <w:t xml:space="preserve">Участникът </w:t>
            </w:r>
            <w:proofErr w:type="spellStart"/>
            <w:r w:rsidRPr="00163D06">
              <w:rPr>
                <w:szCs w:val="24"/>
                <w:lang w:val="ru-RU"/>
              </w:rPr>
              <w:t>извършва</w:t>
            </w:r>
            <w:proofErr w:type="spellEnd"/>
            <w:r w:rsidRPr="00163D06">
              <w:rPr>
                <w:szCs w:val="24"/>
                <w:lang w:val="ru-RU"/>
              </w:rPr>
              <w:t xml:space="preserve"> </w:t>
            </w:r>
            <w:proofErr w:type="spellStart"/>
            <w:r w:rsidRPr="00163D06">
              <w:rPr>
                <w:szCs w:val="24"/>
                <w:lang w:val="ru-RU"/>
              </w:rPr>
              <w:t>прехода</w:t>
            </w:r>
            <w:proofErr w:type="spellEnd"/>
            <w:r w:rsidRPr="00163D06">
              <w:rPr>
                <w:szCs w:val="24"/>
                <w:lang w:val="ru-RU"/>
              </w:rPr>
              <w:t xml:space="preserve"> от </w:t>
            </w:r>
            <w:proofErr w:type="spellStart"/>
            <w:r w:rsidRPr="00163D06">
              <w:rPr>
                <w:szCs w:val="24"/>
                <w:lang w:val="ru-RU"/>
              </w:rPr>
              <w:t>предходния</w:t>
            </w:r>
            <w:proofErr w:type="spellEnd"/>
            <w:r w:rsidRPr="00163D06">
              <w:rPr>
                <w:szCs w:val="24"/>
                <w:lang w:val="ru-RU"/>
              </w:rPr>
              <w:t xml:space="preserve"> оператор </w:t>
            </w:r>
            <w:proofErr w:type="spellStart"/>
            <w:r w:rsidRPr="00163D06">
              <w:rPr>
                <w:szCs w:val="24"/>
                <w:lang w:val="ru-RU"/>
              </w:rPr>
              <w:t>към</w:t>
            </w:r>
            <w:proofErr w:type="spellEnd"/>
            <w:r w:rsidRPr="00163D06">
              <w:rPr>
                <w:szCs w:val="24"/>
                <w:lang w:val="ru-RU"/>
              </w:rPr>
              <w:t xml:space="preserve"> </w:t>
            </w:r>
            <w:proofErr w:type="spellStart"/>
            <w:r w:rsidRPr="00163D06">
              <w:rPr>
                <w:szCs w:val="24"/>
                <w:lang w:val="ru-RU"/>
              </w:rPr>
              <w:t>неговата</w:t>
            </w:r>
            <w:proofErr w:type="spellEnd"/>
            <w:r w:rsidRPr="00163D06">
              <w:rPr>
                <w:szCs w:val="24"/>
                <w:lang w:val="ru-RU"/>
              </w:rPr>
              <w:t xml:space="preserve"> мрежа в </w:t>
            </w:r>
            <w:proofErr w:type="spellStart"/>
            <w:r w:rsidRPr="00163D06">
              <w:rPr>
                <w:szCs w:val="24"/>
                <w:lang w:val="ru-RU"/>
              </w:rPr>
              <w:t>рамките</w:t>
            </w:r>
            <w:proofErr w:type="spellEnd"/>
            <w:r w:rsidRPr="00163D06">
              <w:rPr>
                <w:szCs w:val="24"/>
                <w:lang w:val="ru-RU"/>
              </w:rPr>
              <w:t xml:space="preserve"> на </w:t>
            </w:r>
            <w:r w:rsidRPr="00163D06">
              <w:rPr>
                <w:szCs w:val="24"/>
                <w:lang w:val="bg-BG"/>
              </w:rPr>
              <w:t>3</w:t>
            </w:r>
            <w:r w:rsidRPr="00163D06">
              <w:rPr>
                <w:szCs w:val="24"/>
                <w:lang w:val="ru-RU"/>
              </w:rPr>
              <w:t xml:space="preserve">0 </w:t>
            </w:r>
            <w:proofErr w:type="spellStart"/>
            <w:r w:rsidRPr="00163D06">
              <w:rPr>
                <w:szCs w:val="24"/>
                <w:lang w:val="ru-RU"/>
              </w:rPr>
              <w:t>календарни</w:t>
            </w:r>
            <w:proofErr w:type="spellEnd"/>
            <w:r w:rsidRPr="00163D06">
              <w:rPr>
                <w:szCs w:val="24"/>
                <w:lang w:val="ru-RU"/>
              </w:rPr>
              <w:t xml:space="preserve"> дни след </w:t>
            </w:r>
            <w:proofErr w:type="spellStart"/>
            <w:r w:rsidRPr="00163D06">
              <w:rPr>
                <w:szCs w:val="24"/>
                <w:lang w:val="ru-RU"/>
              </w:rPr>
              <w:t>подписване</w:t>
            </w:r>
            <w:proofErr w:type="spellEnd"/>
            <w:r w:rsidRPr="00163D06">
              <w:rPr>
                <w:szCs w:val="24"/>
                <w:lang w:val="ru-RU"/>
              </w:rPr>
              <w:t xml:space="preserve"> на договор </w:t>
            </w:r>
            <w:r w:rsidRPr="00163D06">
              <w:rPr>
                <w:szCs w:val="24"/>
                <w:lang w:val="bg-BG"/>
              </w:rPr>
              <w:t xml:space="preserve">и осигуряване на достъп до обектите на </w:t>
            </w:r>
            <w:r>
              <w:rPr>
                <w:szCs w:val="24"/>
              </w:rPr>
              <w:t>ОБЩИНА РУСЕ</w:t>
            </w:r>
            <w:r w:rsidRPr="00163D06">
              <w:rPr>
                <w:szCs w:val="24"/>
                <w:lang w:val="bg-BG"/>
              </w:rPr>
              <w:t>;</w:t>
            </w:r>
          </w:p>
          <w:p w:rsidR="00B01D68" w:rsidRPr="00032DFD" w:rsidRDefault="00B01D68" w:rsidP="00597722">
            <w:pPr>
              <w:jc w:val="both"/>
              <w:rPr>
                <w:bCs/>
                <w:lang w:val="bg-BG"/>
              </w:rPr>
            </w:pPr>
            <w:r w:rsidRPr="00163D06">
              <w:rPr>
                <w:lang w:val="ru-RU"/>
              </w:rPr>
              <w:t xml:space="preserve">След </w:t>
            </w:r>
            <w:proofErr w:type="spellStart"/>
            <w:r w:rsidRPr="00163D06">
              <w:rPr>
                <w:lang w:val="ru-RU"/>
              </w:rPr>
              <w:t>прехвърлянето</w:t>
            </w:r>
            <w:proofErr w:type="spellEnd"/>
            <w:r w:rsidRPr="00163D06">
              <w:rPr>
                <w:lang w:val="ru-RU"/>
              </w:rPr>
              <w:t xml:space="preserve"> на </w:t>
            </w:r>
            <w:proofErr w:type="spellStart"/>
            <w:r w:rsidRPr="00163D06">
              <w:rPr>
                <w:lang w:val="ru-RU"/>
              </w:rPr>
              <w:t>всички</w:t>
            </w:r>
            <w:proofErr w:type="spellEnd"/>
            <w:r w:rsidRPr="00163D06">
              <w:rPr>
                <w:lang w:val="ru-RU"/>
              </w:rPr>
              <w:t xml:space="preserve"> услуги </w:t>
            </w:r>
            <w:proofErr w:type="spellStart"/>
            <w:r w:rsidRPr="00163D06">
              <w:rPr>
                <w:lang w:val="ru-RU"/>
              </w:rPr>
              <w:t>към</w:t>
            </w:r>
            <w:proofErr w:type="spellEnd"/>
            <w:r w:rsidRPr="00163D06">
              <w:rPr>
                <w:lang w:val="ru-RU"/>
              </w:rPr>
              <w:t xml:space="preserve"> </w:t>
            </w:r>
            <w:proofErr w:type="spellStart"/>
            <w:r w:rsidRPr="00163D06">
              <w:rPr>
                <w:lang w:val="ru-RU"/>
              </w:rPr>
              <w:t>новия</w:t>
            </w:r>
            <w:proofErr w:type="spellEnd"/>
            <w:r w:rsidRPr="00163D06">
              <w:rPr>
                <w:lang w:val="ru-RU"/>
              </w:rPr>
              <w:t xml:space="preserve"> оператор и на основание </w:t>
            </w:r>
            <w:proofErr w:type="spellStart"/>
            <w:r w:rsidRPr="00163D06">
              <w:rPr>
                <w:lang w:val="ru-RU"/>
              </w:rPr>
              <w:t>подписаните</w:t>
            </w:r>
            <w:proofErr w:type="spellEnd"/>
            <w:r w:rsidRPr="00163D06">
              <w:rPr>
                <w:lang w:val="ru-RU"/>
              </w:rPr>
              <w:t xml:space="preserve"> </w:t>
            </w:r>
            <w:proofErr w:type="spellStart"/>
            <w:r w:rsidRPr="00163D06">
              <w:rPr>
                <w:lang w:val="ru-RU"/>
              </w:rPr>
              <w:t>протоколи</w:t>
            </w:r>
            <w:proofErr w:type="spellEnd"/>
            <w:r w:rsidRPr="00163D06">
              <w:rPr>
                <w:lang w:val="ru-RU"/>
              </w:rPr>
              <w:t xml:space="preserve"> се </w:t>
            </w:r>
            <w:proofErr w:type="spellStart"/>
            <w:r w:rsidRPr="00163D06">
              <w:rPr>
                <w:lang w:val="ru-RU"/>
              </w:rPr>
              <w:t>съставя</w:t>
            </w:r>
            <w:proofErr w:type="spellEnd"/>
            <w:r w:rsidRPr="00163D06">
              <w:rPr>
                <w:lang w:val="ru-RU"/>
              </w:rPr>
              <w:t xml:space="preserve"> и </w:t>
            </w:r>
            <w:proofErr w:type="spellStart"/>
            <w:r w:rsidRPr="00163D06">
              <w:rPr>
                <w:lang w:val="ru-RU"/>
              </w:rPr>
              <w:t>подписва</w:t>
            </w:r>
            <w:proofErr w:type="spellEnd"/>
            <w:r w:rsidRPr="00163D06">
              <w:rPr>
                <w:lang w:val="ru-RU"/>
              </w:rPr>
              <w:t xml:space="preserve"> обобщен протокол, с </w:t>
            </w:r>
            <w:proofErr w:type="spellStart"/>
            <w:r w:rsidRPr="00163D06">
              <w:rPr>
                <w:lang w:val="ru-RU"/>
              </w:rPr>
              <w:t>който</w:t>
            </w:r>
            <w:proofErr w:type="spellEnd"/>
            <w:r w:rsidRPr="00163D06">
              <w:rPr>
                <w:lang w:val="ru-RU"/>
              </w:rPr>
              <w:t xml:space="preserve"> се </w:t>
            </w:r>
            <w:proofErr w:type="spellStart"/>
            <w:r w:rsidRPr="00163D06">
              <w:rPr>
                <w:lang w:val="ru-RU"/>
              </w:rPr>
              <w:t>фиксира</w:t>
            </w:r>
            <w:proofErr w:type="spellEnd"/>
            <w:r w:rsidRPr="00163D06">
              <w:rPr>
                <w:lang w:val="ru-RU"/>
              </w:rPr>
              <w:t xml:space="preserve"> </w:t>
            </w:r>
            <w:proofErr w:type="spellStart"/>
            <w:r w:rsidRPr="00163D06">
              <w:rPr>
                <w:lang w:val="ru-RU"/>
              </w:rPr>
              <w:t>моментът</w:t>
            </w:r>
            <w:proofErr w:type="spellEnd"/>
            <w:r w:rsidRPr="00163D06">
              <w:rPr>
                <w:lang w:val="ru-RU"/>
              </w:rPr>
              <w:t xml:space="preserve"> на </w:t>
            </w:r>
            <w:proofErr w:type="spellStart"/>
            <w:r w:rsidRPr="00163D06">
              <w:rPr>
                <w:lang w:val="ru-RU"/>
              </w:rPr>
              <w:t>преминаване</w:t>
            </w:r>
            <w:proofErr w:type="spellEnd"/>
            <w:r w:rsidRPr="00163D06">
              <w:rPr>
                <w:lang w:val="ru-RU"/>
              </w:rPr>
              <w:t xml:space="preserve"> на </w:t>
            </w:r>
            <w:proofErr w:type="spellStart"/>
            <w:r w:rsidRPr="00163D06">
              <w:rPr>
                <w:lang w:val="ru-RU"/>
              </w:rPr>
              <w:t>отговорността</w:t>
            </w:r>
            <w:proofErr w:type="spellEnd"/>
            <w:r w:rsidRPr="00163D06">
              <w:rPr>
                <w:lang w:val="ru-RU"/>
              </w:rPr>
              <w:t xml:space="preserve"> по </w:t>
            </w:r>
            <w:proofErr w:type="spellStart"/>
            <w:r w:rsidRPr="00163D06">
              <w:rPr>
                <w:lang w:val="ru-RU"/>
              </w:rPr>
              <w:t>предоставянето</w:t>
            </w:r>
            <w:proofErr w:type="spellEnd"/>
            <w:r w:rsidRPr="00163D06">
              <w:rPr>
                <w:lang w:val="ru-RU"/>
              </w:rPr>
              <w:t xml:space="preserve"> на </w:t>
            </w:r>
            <w:proofErr w:type="spellStart"/>
            <w:r w:rsidRPr="00163D06">
              <w:rPr>
                <w:lang w:val="ru-RU"/>
              </w:rPr>
              <w:t>услугите</w:t>
            </w:r>
            <w:proofErr w:type="spellEnd"/>
            <w:r w:rsidRPr="00163D06">
              <w:rPr>
                <w:lang w:val="ru-RU"/>
              </w:rPr>
              <w:t xml:space="preserve"> </w:t>
            </w:r>
            <w:proofErr w:type="spellStart"/>
            <w:r w:rsidRPr="00163D06">
              <w:rPr>
                <w:lang w:val="ru-RU"/>
              </w:rPr>
              <w:t>към</w:t>
            </w:r>
            <w:proofErr w:type="spellEnd"/>
            <w:r w:rsidRPr="00163D06">
              <w:rPr>
                <w:lang w:val="ru-RU"/>
              </w:rPr>
              <w:t xml:space="preserve"> </w:t>
            </w:r>
            <w:proofErr w:type="spellStart"/>
            <w:r w:rsidRPr="00163D06">
              <w:rPr>
                <w:lang w:val="ru-RU"/>
              </w:rPr>
              <w:t>новия</w:t>
            </w:r>
            <w:proofErr w:type="spellEnd"/>
            <w:r w:rsidRPr="00163D06">
              <w:rPr>
                <w:lang w:val="ru-RU"/>
              </w:rPr>
              <w:t xml:space="preserve"> </w:t>
            </w:r>
            <w:proofErr w:type="spellStart"/>
            <w:r w:rsidRPr="00163D06">
              <w:rPr>
                <w:lang w:val="ru-RU"/>
              </w:rPr>
              <w:t>доставчик</w:t>
            </w:r>
            <w:proofErr w:type="spellEnd"/>
            <w:r w:rsidRPr="00163D06">
              <w:rPr>
                <w:lang w:val="ru-RU"/>
              </w:rPr>
              <w:t>.</w:t>
            </w:r>
          </w:p>
        </w:tc>
      </w:tr>
    </w:tbl>
    <w:p w:rsidR="007A3216" w:rsidRPr="00F27B07" w:rsidRDefault="007A3216" w:rsidP="00F27B07">
      <w:pPr>
        <w:ind w:firstLine="709"/>
      </w:pPr>
    </w:p>
    <w:sectPr w:rsidR="007A3216" w:rsidRPr="00F2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00775B"/>
    <w:multiLevelType w:val="hybridMultilevel"/>
    <w:tmpl w:val="760C3B60"/>
    <w:lvl w:ilvl="0" w:tplc="D3587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80D22"/>
    <w:multiLevelType w:val="hybridMultilevel"/>
    <w:tmpl w:val="10E8F4EA"/>
    <w:lvl w:ilvl="0" w:tplc="0402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71AD8"/>
    <w:multiLevelType w:val="hybridMultilevel"/>
    <w:tmpl w:val="E7FAF6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323E8"/>
    <w:multiLevelType w:val="hybridMultilevel"/>
    <w:tmpl w:val="18E2D5D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0A"/>
    <w:rsid w:val="00094C25"/>
    <w:rsid w:val="003E240A"/>
    <w:rsid w:val="004E3512"/>
    <w:rsid w:val="004F5BB0"/>
    <w:rsid w:val="005E672D"/>
    <w:rsid w:val="00681789"/>
    <w:rsid w:val="006B07DD"/>
    <w:rsid w:val="007A3216"/>
    <w:rsid w:val="00B01D68"/>
    <w:rsid w:val="00D15DE2"/>
    <w:rsid w:val="00EE785E"/>
    <w:rsid w:val="00F2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 Char"/>
    <w:basedOn w:val="a"/>
    <w:next w:val="a"/>
    <w:link w:val="10"/>
    <w:qFormat/>
    <w:rsid w:val="00B01D68"/>
    <w:pPr>
      <w:keepNext/>
      <w:numPr>
        <w:numId w:val="5"/>
      </w:numPr>
      <w:outlineLvl w:val="0"/>
    </w:pPr>
    <w:rPr>
      <w:b/>
      <w:cap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7B07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a4">
    <w:name w:val="Normal (Web)"/>
    <w:basedOn w:val="a"/>
    <w:uiPriority w:val="99"/>
    <w:unhideWhenUsed/>
    <w:rsid w:val="00F27B07"/>
    <w:pPr>
      <w:spacing w:before="100" w:beforeAutospacing="1" w:after="100" w:afterAutospacing="1"/>
    </w:pPr>
    <w:rPr>
      <w:lang w:val="bg-BG" w:eastAsia="bg-BG"/>
    </w:rPr>
  </w:style>
  <w:style w:type="character" w:customStyle="1" w:styleId="10">
    <w:name w:val="Заглавие 1 Знак"/>
    <w:aliases w:val=" Char Знак"/>
    <w:basedOn w:val="a0"/>
    <w:link w:val="1"/>
    <w:rsid w:val="00B01D68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F5BB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F5BB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 Char"/>
    <w:basedOn w:val="a"/>
    <w:next w:val="a"/>
    <w:link w:val="10"/>
    <w:qFormat/>
    <w:rsid w:val="00B01D68"/>
    <w:pPr>
      <w:keepNext/>
      <w:numPr>
        <w:numId w:val="5"/>
      </w:numPr>
      <w:outlineLvl w:val="0"/>
    </w:pPr>
    <w:rPr>
      <w:b/>
      <w:cap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7B07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a4">
    <w:name w:val="Normal (Web)"/>
    <w:basedOn w:val="a"/>
    <w:uiPriority w:val="99"/>
    <w:unhideWhenUsed/>
    <w:rsid w:val="00F27B07"/>
    <w:pPr>
      <w:spacing w:before="100" w:beforeAutospacing="1" w:after="100" w:afterAutospacing="1"/>
    </w:pPr>
    <w:rPr>
      <w:lang w:val="bg-BG" w:eastAsia="bg-BG"/>
    </w:rPr>
  </w:style>
  <w:style w:type="character" w:customStyle="1" w:styleId="10">
    <w:name w:val="Заглавие 1 Знак"/>
    <w:aliases w:val=" Char Знак"/>
    <w:basedOn w:val="a0"/>
    <w:link w:val="1"/>
    <w:rsid w:val="00B01D68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F5BB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F5BB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or@ruse-b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2014-12-17T09:16:00Z</cp:lastPrinted>
  <dcterms:created xsi:type="dcterms:W3CDTF">2014-12-16T08:50:00Z</dcterms:created>
  <dcterms:modified xsi:type="dcterms:W3CDTF">2015-01-06T13:13:00Z</dcterms:modified>
</cp:coreProperties>
</file>